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36" w:rsidRDefault="00AF6854" w:rsidP="00F01536">
      <w:pPr>
        <w:pStyle w:val="ad"/>
        <w:jc w:val="center"/>
        <w:rPr>
          <w:b/>
          <w:sz w:val="44"/>
          <w:szCs w:val="44"/>
        </w:rPr>
      </w:pPr>
      <w:r>
        <w:rPr>
          <w:rFonts w:hint="eastAsia"/>
          <w:b/>
          <w:sz w:val="44"/>
          <w:szCs w:val="44"/>
        </w:rPr>
        <w:t>澳大利亚养老金资产管理</w:t>
      </w:r>
    </w:p>
    <w:p w:rsidR="003E00B0" w:rsidRPr="00B346B1" w:rsidRDefault="00AF6854" w:rsidP="00F01536">
      <w:pPr>
        <w:pStyle w:val="ad"/>
        <w:jc w:val="center"/>
        <w:rPr>
          <w:b/>
          <w:sz w:val="44"/>
          <w:szCs w:val="44"/>
        </w:rPr>
      </w:pPr>
      <w:r>
        <w:rPr>
          <w:rFonts w:hint="eastAsia"/>
          <w:b/>
          <w:sz w:val="44"/>
          <w:szCs w:val="44"/>
        </w:rPr>
        <w:t>经验借鉴与启示</w:t>
      </w:r>
    </w:p>
    <w:p w:rsidR="00631273" w:rsidRDefault="00631273" w:rsidP="00631273">
      <w:pPr>
        <w:jc w:val="center"/>
        <w:rPr>
          <w:sz w:val="18"/>
          <w:szCs w:val="18"/>
        </w:rPr>
      </w:pPr>
    </w:p>
    <w:p w:rsidR="008804D1" w:rsidRDefault="008804D1" w:rsidP="008804D1">
      <w:pPr>
        <w:jc w:val="left"/>
        <w:rPr>
          <w:rFonts w:hint="eastAsia"/>
          <w:szCs w:val="21"/>
        </w:rPr>
      </w:pPr>
      <w:r w:rsidRPr="00E06E9D">
        <w:rPr>
          <w:rFonts w:hint="eastAsia"/>
          <w:b/>
          <w:szCs w:val="21"/>
        </w:rPr>
        <w:t>作者：</w:t>
      </w:r>
      <w:r w:rsidR="00631273" w:rsidRPr="00E06E9D">
        <w:rPr>
          <w:rFonts w:hint="eastAsia"/>
          <w:szCs w:val="21"/>
        </w:rPr>
        <w:t>高敏</w:t>
      </w:r>
      <w:r w:rsidRPr="00E06E9D">
        <w:rPr>
          <w:rFonts w:hint="eastAsia"/>
          <w:szCs w:val="21"/>
        </w:rPr>
        <w:t xml:space="preserve"> </w:t>
      </w:r>
      <w:r w:rsidRPr="00E06E9D">
        <w:rPr>
          <w:rFonts w:hint="eastAsia"/>
          <w:szCs w:val="21"/>
        </w:rPr>
        <w:t>袁思农</w:t>
      </w:r>
    </w:p>
    <w:p w:rsidR="00E06E9D" w:rsidRPr="00E06E9D" w:rsidRDefault="00E06E9D" w:rsidP="008804D1">
      <w:pPr>
        <w:jc w:val="left"/>
        <w:rPr>
          <w:szCs w:val="21"/>
        </w:rPr>
      </w:pPr>
    </w:p>
    <w:p w:rsidR="008804D1" w:rsidRPr="00E06E9D" w:rsidRDefault="008804D1" w:rsidP="008804D1">
      <w:pPr>
        <w:jc w:val="left"/>
        <w:rPr>
          <w:szCs w:val="21"/>
        </w:rPr>
      </w:pPr>
      <w:r w:rsidRPr="00E06E9D">
        <w:rPr>
          <w:rFonts w:hint="eastAsia"/>
          <w:szCs w:val="21"/>
        </w:rPr>
        <w:t>高敏：华商基金管理有限公司副总经理，中国养老金融</w:t>
      </w:r>
      <w:r w:rsidRPr="00E06E9D">
        <w:rPr>
          <w:rFonts w:hint="eastAsia"/>
          <w:szCs w:val="21"/>
        </w:rPr>
        <w:t>50</w:t>
      </w:r>
      <w:r w:rsidRPr="00E06E9D">
        <w:rPr>
          <w:rFonts w:hint="eastAsia"/>
          <w:szCs w:val="21"/>
        </w:rPr>
        <w:t>人论坛核心成员，研究领域为财会、人力资源、养老金融。</w:t>
      </w:r>
    </w:p>
    <w:p w:rsidR="008804D1" w:rsidRPr="00E06E9D" w:rsidRDefault="008804D1" w:rsidP="008804D1">
      <w:pPr>
        <w:jc w:val="left"/>
        <w:rPr>
          <w:szCs w:val="21"/>
        </w:rPr>
      </w:pPr>
      <w:r w:rsidRPr="00E06E9D">
        <w:rPr>
          <w:rFonts w:hint="eastAsia"/>
          <w:szCs w:val="21"/>
        </w:rPr>
        <w:t>袁思农：现供职于华商基金养老金业务部，研究领域为应用经济、养老金融。</w:t>
      </w:r>
    </w:p>
    <w:p w:rsidR="0032066A" w:rsidRPr="002D7C5A" w:rsidRDefault="0032066A" w:rsidP="00631273">
      <w:pPr>
        <w:jc w:val="center"/>
        <w:rPr>
          <w:b/>
          <w:sz w:val="18"/>
          <w:szCs w:val="18"/>
        </w:rPr>
      </w:pPr>
    </w:p>
    <w:p w:rsidR="00BA3136" w:rsidRDefault="003C59EA" w:rsidP="002F629E">
      <w:r w:rsidRPr="002D7C5A">
        <w:rPr>
          <w:rFonts w:hint="eastAsia"/>
          <w:b/>
        </w:rPr>
        <w:t>摘要：</w:t>
      </w:r>
      <w:r w:rsidRPr="002F629E">
        <w:rPr>
          <w:rFonts w:hint="eastAsia"/>
        </w:rPr>
        <w:t>澳大利亚三支柱养老金体系是世界上最成熟的养老金体系之一，包括第一支柱基本养老金、第二支柱保障型超级年金、第三支柱自愿型超级年金和作为储备养老金的未来基金。</w:t>
      </w:r>
    </w:p>
    <w:p w:rsidR="00BA3136" w:rsidRDefault="00BA3136" w:rsidP="002F629E"/>
    <w:p w:rsidR="006339C9" w:rsidRPr="002F629E" w:rsidRDefault="004A1B0B" w:rsidP="002F629E">
      <w:r>
        <w:rPr>
          <w:rFonts w:hint="eastAsia"/>
        </w:rPr>
        <w:t>基本养老金属于待遇确定型养老计划，费用来源于每年的</w:t>
      </w:r>
      <w:r w:rsidR="0032066A" w:rsidRPr="002F629E">
        <w:rPr>
          <w:rFonts w:hint="eastAsia"/>
        </w:rPr>
        <w:t>税收等财政收入，不涉及投资运营；</w:t>
      </w:r>
      <w:r w:rsidR="00AF6854">
        <w:rPr>
          <w:rFonts w:hint="eastAsia"/>
        </w:rPr>
        <w:t>保障型</w:t>
      </w:r>
      <w:r w:rsidR="0032066A" w:rsidRPr="002F629E">
        <w:rPr>
          <w:rFonts w:hint="eastAsia"/>
        </w:rPr>
        <w:t>超级年金</w:t>
      </w:r>
      <w:r w:rsidR="002F629E">
        <w:rPr>
          <w:rFonts w:hint="eastAsia"/>
        </w:rPr>
        <w:t>实行基金累积制，主要是缴费确定型，</w:t>
      </w:r>
      <w:r w:rsidR="0032066A" w:rsidRPr="002F629E">
        <w:rPr>
          <w:rFonts w:hint="eastAsia"/>
        </w:rPr>
        <w:t>来源于强制性的雇主缴费，并通过委托代理关系以受托人为责任主体进行基金的投资运营。</w:t>
      </w:r>
      <w:r>
        <w:rPr>
          <w:rFonts w:hint="eastAsia"/>
        </w:rPr>
        <w:t>自愿型超级年金</w:t>
      </w:r>
      <w:r w:rsidR="0032066A" w:rsidRPr="002F629E">
        <w:rPr>
          <w:rFonts w:hint="eastAsia"/>
        </w:rPr>
        <w:t>实行基金累积制</w:t>
      </w:r>
      <w:r>
        <w:rPr>
          <w:rFonts w:hint="eastAsia"/>
        </w:rPr>
        <w:t>，为</w:t>
      </w:r>
      <w:r w:rsidR="0032066A" w:rsidRPr="002F629E">
        <w:rPr>
          <w:rFonts w:hint="eastAsia"/>
        </w:rPr>
        <w:t>缴费确定型，通过超级年金的体系进行投资运营。国家储备养老金是澳大利亚未来基金，由澳大利亚政府委托未来基金管理委员会进行受托管理。</w:t>
      </w:r>
    </w:p>
    <w:p w:rsidR="002F629E" w:rsidRDefault="002F629E" w:rsidP="002F629E"/>
    <w:p w:rsidR="006F5050" w:rsidRPr="002F629E" w:rsidRDefault="006F5050" w:rsidP="002F629E">
      <w:r w:rsidRPr="002D7C5A">
        <w:rPr>
          <w:rFonts w:hint="eastAsia"/>
          <w:b/>
        </w:rPr>
        <w:t>关键词</w:t>
      </w:r>
      <w:r w:rsidRPr="002D7C5A">
        <w:rPr>
          <w:rFonts w:hint="eastAsia"/>
          <w:b/>
        </w:rPr>
        <w:t>:</w:t>
      </w:r>
      <w:r w:rsidR="002D7C5A" w:rsidRPr="002D7C5A">
        <w:rPr>
          <w:rFonts w:hint="eastAsia"/>
          <w:b/>
        </w:rPr>
        <w:t xml:space="preserve"> </w:t>
      </w:r>
      <w:r w:rsidRPr="002F629E">
        <w:t>澳大利亚</w:t>
      </w:r>
      <w:r w:rsidR="004A1B0B">
        <w:rPr>
          <w:rFonts w:hint="eastAsia"/>
        </w:rPr>
        <w:t xml:space="preserve"> </w:t>
      </w:r>
      <w:r w:rsidRPr="002F629E">
        <w:t>基本养老金</w:t>
      </w:r>
      <w:r w:rsidR="004A1B0B">
        <w:rPr>
          <w:rFonts w:hint="eastAsia"/>
        </w:rPr>
        <w:t xml:space="preserve"> </w:t>
      </w:r>
      <w:r w:rsidRPr="002F629E">
        <w:rPr>
          <w:rFonts w:hint="eastAsia"/>
        </w:rPr>
        <w:t>超级</w:t>
      </w:r>
      <w:r w:rsidRPr="002F629E">
        <w:t>年金</w:t>
      </w:r>
      <w:r w:rsidR="004A1B0B">
        <w:rPr>
          <w:rFonts w:hint="eastAsia"/>
        </w:rPr>
        <w:t xml:space="preserve"> </w:t>
      </w:r>
      <w:r w:rsidRPr="002F629E">
        <w:rPr>
          <w:rFonts w:hint="eastAsia"/>
        </w:rPr>
        <w:t>未来基金</w:t>
      </w:r>
      <w:r w:rsidR="004A1B0B">
        <w:rPr>
          <w:rFonts w:hint="eastAsia"/>
        </w:rPr>
        <w:t xml:space="preserve"> </w:t>
      </w:r>
      <w:r w:rsidR="004A1B0B">
        <w:rPr>
          <w:rFonts w:hint="eastAsia"/>
        </w:rPr>
        <w:t>资产管理</w:t>
      </w:r>
    </w:p>
    <w:p w:rsidR="00B346B1" w:rsidRPr="007501FF" w:rsidRDefault="004A1B0B" w:rsidP="002D7C5A">
      <w:pPr>
        <w:pStyle w:val="1"/>
        <w:jc w:val="center"/>
        <w:rPr>
          <w:sz w:val="32"/>
          <w:szCs w:val="32"/>
        </w:rPr>
      </w:pPr>
      <w:r>
        <w:rPr>
          <w:rStyle w:val="1Char"/>
          <w:rFonts w:asciiTheme="minorEastAsia" w:hAnsiTheme="minorEastAsia" w:hint="eastAsia"/>
          <w:b/>
          <w:sz w:val="32"/>
          <w:szCs w:val="32"/>
        </w:rPr>
        <w:t>一</w:t>
      </w:r>
      <w:r>
        <w:rPr>
          <w:rStyle w:val="1Char"/>
          <w:rFonts w:asciiTheme="minorEastAsia" w:hAnsiTheme="minorEastAsia" w:hint="eastAsia"/>
          <w:sz w:val="32"/>
          <w:szCs w:val="32"/>
        </w:rPr>
        <w:t xml:space="preserve"> </w:t>
      </w:r>
      <w:r w:rsidR="00B346B1" w:rsidRPr="007501FF">
        <w:rPr>
          <w:sz w:val="32"/>
          <w:szCs w:val="32"/>
        </w:rPr>
        <w:t>澳大利亚养老金体系概述</w:t>
      </w:r>
    </w:p>
    <w:p w:rsidR="00B346B1" w:rsidRDefault="007F6819" w:rsidP="00BA3136">
      <w:r>
        <w:rPr>
          <w:rFonts w:hint="eastAsia"/>
        </w:rPr>
        <w:t>澳大利亚</w:t>
      </w:r>
      <w:r>
        <w:t>的养老金体系在实现</w:t>
      </w:r>
      <w:r>
        <w:rPr>
          <w:rFonts w:hint="eastAsia"/>
        </w:rPr>
        <w:t>较高</w:t>
      </w:r>
      <w:r>
        <w:t>的覆盖率和替代率的同时，维持了</w:t>
      </w:r>
      <w:r>
        <w:rPr>
          <w:rFonts w:hint="eastAsia"/>
        </w:rPr>
        <w:t>较低</w:t>
      </w:r>
      <w:r>
        <w:t>的政府支出</w:t>
      </w:r>
      <w:r w:rsidR="004B5BAC">
        <w:t>，</w:t>
      </w:r>
      <w:r w:rsidR="004B5BAC">
        <w:rPr>
          <w:rFonts w:hint="eastAsia"/>
        </w:rPr>
        <w:t>被</w:t>
      </w:r>
      <w:r w:rsidR="004B5BAC">
        <w:t>认为是世界上最为成熟的养老</w:t>
      </w:r>
      <w:r w:rsidR="00E74537">
        <w:rPr>
          <w:rFonts w:hint="eastAsia"/>
        </w:rPr>
        <w:t>金</w:t>
      </w:r>
      <w:r w:rsidR="004B5BAC">
        <w:t>体系之一</w:t>
      </w:r>
      <w:r>
        <w:rPr>
          <w:rFonts w:hint="eastAsia"/>
        </w:rPr>
        <w:t>。澳大利亚</w:t>
      </w:r>
      <w:r w:rsidR="002E6012">
        <w:t>养老金体系</w:t>
      </w:r>
      <w:r>
        <w:t>的</w:t>
      </w:r>
      <w:r>
        <w:rPr>
          <w:rFonts w:hint="eastAsia"/>
        </w:rPr>
        <w:t>目标</w:t>
      </w:r>
      <w:r>
        <w:t>在于建立一个</w:t>
      </w:r>
      <w:r>
        <w:rPr>
          <w:rFonts w:hint="eastAsia"/>
        </w:rPr>
        <w:t>广泛</w:t>
      </w:r>
      <w:r>
        <w:t>和合适的、公平和</w:t>
      </w:r>
      <w:r w:rsidR="004A1B0B">
        <w:rPr>
          <w:rFonts w:hint="eastAsia"/>
        </w:rPr>
        <w:t>可</w:t>
      </w:r>
      <w:r>
        <w:t>接受的、健全的、</w:t>
      </w:r>
      <w:r w:rsidR="00A573BE">
        <w:rPr>
          <w:rFonts w:hint="eastAsia"/>
        </w:rPr>
        <w:t>简单易行</w:t>
      </w:r>
      <w:r w:rsidR="00A573BE">
        <w:t>的</w:t>
      </w:r>
      <w:r>
        <w:t>、可持续的</w:t>
      </w:r>
      <w:r>
        <w:rPr>
          <w:rFonts w:hint="eastAsia"/>
        </w:rPr>
        <w:t>养老</w:t>
      </w:r>
      <w:r>
        <w:t>系统</w:t>
      </w:r>
      <w:r>
        <w:rPr>
          <w:rFonts w:hint="eastAsia"/>
        </w:rPr>
        <w:t>。</w:t>
      </w:r>
      <w:r w:rsidR="007052C3">
        <w:rPr>
          <w:rFonts w:hint="eastAsia"/>
        </w:rPr>
        <w:t>澳大利亚</w:t>
      </w:r>
      <w:r>
        <w:rPr>
          <w:rFonts w:hint="eastAsia"/>
        </w:rPr>
        <w:t>是</w:t>
      </w:r>
      <w:r>
        <w:t>典型的三支柱</w:t>
      </w:r>
      <w:r w:rsidR="002E6012">
        <w:t>养老金体系</w:t>
      </w:r>
      <w:r>
        <w:t>：第一支柱基础养老金是</w:t>
      </w:r>
      <w:r>
        <w:rPr>
          <w:rFonts w:hint="eastAsia"/>
        </w:rPr>
        <w:t>覆盖</w:t>
      </w:r>
      <w:r w:rsidR="004A1B0B">
        <w:t>澳大利亚</w:t>
      </w:r>
      <w:r w:rsidR="004A1B0B">
        <w:rPr>
          <w:rFonts w:hint="eastAsia"/>
        </w:rPr>
        <w:t>全体国民</w:t>
      </w:r>
      <w:r>
        <w:t>的</w:t>
      </w:r>
      <w:r>
        <w:rPr>
          <w:rFonts w:hint="eastAsia"/>
        </w:rPr>
        <w:t>基本</w:t>
      </w:r>
      <w:r>
        <w:t>养老金（</w:t>
      </w:r>
      <w:r w:rsidR="004A1B0B">
        <w:rPr>
          <w:rFonts w:hint="eastAsia"/>
        </w:rPr>
        <w:t>A</w:t>
      </w:r>
      <w:r>
        <w:rPr>
          <w:rFonts w:hint="eastAsia"/>
        </w:rPr>
        <w:t>ge</w:t>
      </w:r>
      <w:r>
        <w:t xml:space="preserve"> </w:t>
      </w:r>
      <w:r w:rsidR="004A1B0B">
        <w:rPr>
          <w:rFonts w:hint="eastAsia"/>
        </w:rPr>
        <w:t>P</w:t>
      </w:r>
      <w:r>
        <w:t>ension</w:t>
      </w:r>
      <w:r>
        <w:t>）</w:t>
      </w:r>
      <w:r>
        <w:rPr>
          <w:rFonts w:hint="eastAsia"/>
        </w:rPr>
        <w:t>；</w:t>
      </w:r>
      <w:r>
        <w:t>第二支柱补充养老</w:t>
      </w:r>
      <w:r w:rsidR="004A1B0B">
        <w:rPr>
          <w:rFonts w:hint="eastAsia"/>
        </w:rPr>
        <w:t>金</w:t>
      </w:r>
      <w:r>
        <w:t>计划是雇主强制缴费</w:t>
      </w:r>
      <w:r>
        <w:rPr>
          <w:rFonts w:hint="eastAsia"/>
        </w:rPr>
        <w:t>的</w:t>
      </w:r>
      <w:r>
        <w:t>超级年金（</w:t>
      </w:r>
      <w:r w:rsidR="004A1B0B">
        <w:rPr>
          <w:rFonts w:hint="eastAsia"/>
        </w:rPr>
        <w:t>S</w:t>
      </w:r>
      <w:r>
        <w:rPr>
          <w:rFonts w:hint="eastAsia"/>
        </w:rPr>
        <w:t>uperannuation</w:t>
      </w:r>
      <w:r>
        <w:t xml:space="preserve"> </w:t>
      </w:r>
      <w:r w:rsidR="004A1B0B">
        <w:rPr>
          <w:rFonts w:hint="eastAsia"/>
        </w:rPr>
        <w:t>G</w:t>
      </w:r>
      <w:r>
        <w:t>uarantee</w:t>
      </w:r>
      <w:r>
        <w:t>）</w:t>
      </w:r>
      <w:r>
        <w:rPr>
          <w:rFonts w:hint="eastAsia"/>
        </w:rPr>
        <w:t>；</w:t>
      </w:r>
      <w:r>
        <w:t>第三支柱个人养老储蓄</w:t>
      </w:r>
      <w:r>
        <w:rPr>
          <w:rFonts w:hint="eastAsia"/>
        </w:rPr>
        <w:t>主要是</w:t>
      </w:r>
      <w:r>
        <w:t>自愿型超级年金</w:t>
      </w:r>
      <w:r w:rsidR="005E025D">
        <w:rPr>
          <w:rFonts w:hint="eastAsia"/>
        </w:rPr>
        <w:t>（</w:t>
      </w:r>
      <w:r w:rsidR="004A1B0B">
        <w:rPr>
          <w:rFonts w:ascii="宋体" w:eastAsia="宋体" w:hAnsi="宋体" w:cs="宋体" w:hint="eastAsia"/>
          <w:color w:val="000000"/>
          <w:kern w:val="0"/>
          <w:sz w:val="22"/>
        </w:rPr>
        <w:t>V</w:t>
      </w:r>
      <w:r w:rsidR="005E025D" w:rsidRPr="00E06E98">
        <w:rPr>
          <w:rFonts w:ascii="宋体" w:eastAsia="宋体" w:hAnsi="宋体" w:cs="宋体" w:hint="eastAsia"/>
          <w:color w:val="000000"/>
          <w:kern w:val="0"/>
          <w:sz w:val="22"/>
        </w:rPr>
        <w:t xml:space="preserve">oluntary </w:t>
      </w:r>
      <w:r w:rsidR="004A1B0B">
        <w:rPr>
          <w:rFonts w:ascii="宋体" w:eastAsia="宋体" w:hAnsi="宋体" w:cs="宋体" w:hint="eastAsia"/>
          <w:color w:val="000000"/>
          <w:kern w:val="0"/>
          <w:sz w:val="22"/>
        </w:rPr>
        <w:t>S</w:t>
      </w:r>
      <w:r w:rsidR="005E025D" w:rsidRPr="00E06E98">
        <w:rPr>
          <w:rFonts w:ascii="宋体" w:eastAsia="宋体" w:hAnsi="宋体" w:cs="宋体" w:hint="eastAsia"/>
          <w:color w:val="000000"/>
          <w:kern w:val="0"/>
          <w:sz w:val="22"/>
        </w:rPr>
        <w:t>uperannuation</w:t>
      </w:r>
      <w:r w:rsidR="005E025D">
        <w:rPr>
          <w:rFonts w:hint="eastAsia"/>
        </w:rPr>
        <w:t>）</w:t>
      </w:r>
      <w:r>
        <w:rPr>
          <w:rFonts w:hint="eastAsia"/>
        </w:rPr>
        <w:t>；另外澳大利亚</w:t>
      </w:r>
      <w:r>
        <w:t>政府成立了澳大利亚未来基金</w:t>
      </w:r>
      <w:r>
        <w:rPr>
          <w:rFonts w:hint="eastAsia"/>
        </w:rPr>
        <w:t>作为</w:t>
      </w:r>
      <w:r>
        <w:t>储备养老金以</w:t>
      </w:r>
      <w:r>
        <w:rPr>
          <w:rFonts w:hint="eastAsia"/>
        </w:rPr>
        <w:t>应对</w:t>
      </w:r>
      <w:r>
        <w:t>未来可能出现的养老金支付缺口，缓解财政压力</w:t>
      </w:r>
      <w:r>
        <w:rPr>
          <w:rFonts w:hint="eastAsia"/>
        </w:rPr>
        <w:t>。这</w:t>
      </w:r>
      <w:r>
        <w:t>四个部分共同构成了</w:t>
      </w:r>
      <w:r>
        <w:rPr>
          <w:rFonts w:hint="eastAsia"/>
        </w:rPr>
        <w:t>澳大利亚</w:t>
      </w:r>
      <w:r>
        <w:t>现代</w:t>
      </w:r>
      <w:r w:rsidR="002E6012">
        <w:t>养老金体系</w:t>
      </w:r>
      <w:r>
        <w:rPr>
          <w:rFonts w:hint="eastAsia"/>
        </w:rPr>
        <w:t>。</w:t>
      </w:r>
    </w:p>
    <w:p w:rsidR="00BA3136" w:rsidRPr="007F6819" w:rsidRDefault="00BA3136" w:rsidP="00BA3136"/>
    <w:p w:rsidR="007B118D" w:rsidRPr="002D7C5A" w:rsidRDefault="007B118D" w:rsidP="004002FA">
      <w:pPr>
        <w:pStyle w:val="af"/>
        <w:keepNext/>
        <w:jc w:val="center"/>
        <w:rPr>
          <w:b/>
        </w:rPr>
      </w:pPr>
      <w:r w:rsidRPr="002D7C5A">
        <w:rPr>
          <w:rFonts w:hint="eastAsia"/>
          <w:b/>
        </w:rPr>
        <w:t>表</w:t>
      </w:r>
      <w:r w:rsidRPr="002D7C5A">
        <w:rPr>
          <w:rFonts w:hint="eastAsia"/>
          <w:b/>
        </w:rPr>
        <w:t xml:space="preserve"> </w:t>
      </w:r>
      <w:r w:rsidR="009D2541" w:rsidRPr="002D7C5A">
        <w:rPr>
          <w:b/>
        </w:rPr>
        <w:fldChar w:fldCharType="begin"/>
      </w:r>
      <w:r w:rsidRPr="002D7C5A">
        <w:rPr>
          <w:b/>
        </w:rPr>
        <w:instrText xml:space="preserve"> </w:instrText>
      </w:r>
      <w:r w:rsidRPr="002D7C5A">
        <w:rPr>
          <w:rFonts w:hint="eastAsia"/>
          <w:b/>
        </w:rPr>
        <w:instrText xml:space="preserve">SEQ </w:instrText>
      </w:r>
      <w:r w:rsidRPr="002D7C5A">
        <w:rPr>
          <w:rFonts w:hint="eastAsia"/>
          <w:b/>
        </w:rPr>
        <w:instrText>表</w:instrText>
      </w:r>
      <w:r w:rsidRPr="002D7C5A">
        <w:rPr>
          <w:rFonts w:hint="eastAsia"/>
          <w:b/>
        </w:rPr>
        <w:instrText xml:space="preserve"> \* ARABIC</w:instrText>
      </w:r>
      <w:r w:rsidRPr="002D7C5A">
        <w:rPr>
          <w:b/>
        </w:rPr>
        <w:instrText xml:space="preserve"> </w:instrText>
      </w:r>
      <w:r w:rsidR="009D2541" w:rsidRPr="002D7C5A">
        <w:rPr>
          <w:b/>
        </w:rPr>
        <w:fldChar w:fldCharType="separate"/>
      </w:r>
      <w:r w:rsidR="003559DA" w:rsidRPr="002D7C5A">
        <w:rPr>
          <w:b/>
          <w:noProof/>
        </w:rPr>
        <w:t>1</w:t>
      </w:r>
      <w:r w:rsidR="009D2541" w:rsidRPr="002D7C5A">
        <w:rPr>
          <w:b/>
        </w:rPr>
        <w:fldChar w:fldCharType="end"/>
      </w:r>
      <w:r w:rsidRPr="002D7C5A">
        <w:rPr>
          <w:b/>
        </w:rPr>
        <w:t xml:space="preserve"> </w:t>
      </w:r>
      <w:r w:rsidR="006A7805" w:rsidRPr="002D7C5A">
        <w:rPr>
          <w:rFonts w:hint="eastAsia"/>
          <w:b/>
        </w:rPr>
        <w:t>澳大利亚</w:t>
      </w:r>
      <w:r w:rsidR="006A7805" w:rsidRPr="002D7C5A">
        <w:rPr>
          <w:b/>
        </w:rPr>
        <w:t>养老金三支柱</w:t>
      </w:r>
      <w:r w:rsidR="007F6819" w:rsidRPr="002D7C5A">
        <w:rPr>
          <w:rFonts w:hint="eastAsia"/>
          <w:b/>
        </w:rPr>
        <w:t>体系</w:t>
      </w:r>
    </w:p>
    <w:tbl>
      <w:tblPr>
        <w:tblW w:w="0" w:type="auto"/>
        <w:tblInd w:w="5" w:type="dxa"/>
        <w:tblLook w:val="04A0"/>
      </w:tblPr>
      <w:tblGrid>
        <w:gridCol w:w="2542"/>
        <w:gridCol w:w="2835"/>
        <w:gridCol w:w="2914"/>
      </w:tblGrid>
      <w:tr w:rsidR="007F6819" w:rsidRPr="00E06E98" w:rsidTr="007F6819">
        <w:trPr>
          <w:trHeight w:val="477"/>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7F6819" w:rsidRPr="00E06E98" w:rsidRDefault="007F6819" w:rsidP="007F6819">
            <w:pPr>
              <w:widowControl/>
              <w:jc w:val="center"/>
              <w:rPr>
                <w:rFonts w:ascii="宋体" w:eastAsia="宋体" w:hAnsi="宋体" w:cs="宋体"/>
                <w:b/>
                <w:color w:val="000000"/>
                <w:kern w:val="0"/>
                <w:sz w:val="22"/>
              </w:rPr>
            </w:pPr>
            <w:r w:rsidRPr="00E06E98">
              <w:rPr>
                <w:rFonts w:ascii="宋体" w:eastAsia="宋体" w:hAnsi="宋体" w:cs="宋体" w:hint="eastAsia"/>
                <w:b/>
                <w:color w:val="000000"/>
                <w:kern w:val="0"/>
                <w:sz w:val="22"/>
              </w:rPr>
              <w:t>第一支柱</w:t>
            </w:r>
          </w:p>
        </w:tc>
        <w:tc>
          <w:tcPr>
            <w:tcW w:w="2835" w:type="dxa"/>
            <w:tcBorders>
              <w:top w:val="single" w:sz="4" w:space="0" w:color="auto"/>
              <w:left w:val="nil"/>
              <w:bottom w:val="single" w:sz="4" w:space="0" w:color="auto"/>
              <w:right w:val="single" w:sz="4" w:space="0" w:color="auto"/>
            </w:tcBorders>
            <w:shd w:val="clear" w:color="auto" w:fill="auto"/>
            <w:vAlign w:val="center"/>
          </w:tcPr>
          <w:p w:rsidR="007F6819" w:rsidRPr="00E06E98" w:rsidRDefault="007F6819" w:rsidP="007F6819">
            <w:pPr>
              <w:widowControl/>
              <w:jc w:val="center"/>
              <w:rPr>
                <w:rFonts w:ascii="宋体" w:eastAsia="宋体" w:hAnsi="宋体" w:cs="宋体"/>
                <w:b/>
                <w:color w:val="000000"/>
                <w:kern w:val="0"/>
                <w:sz w:val="22"/>
              </w:rPr>
            </w:pPr>
            <w:r w:rsidRPr="00E06E98">
              <w:rPr>
                <w:rFonts w:ascii="宋体" w:eastAsia="宋体" w:hAnsi="宋体" w:cs="宋体" w:hint="eastAsia"/>
                <w:b/>
                <w:color w:val="000000"/>
                <w:kern w:val="0"/>
                <w:sz w:val="22"/>
              </w:rPr>
              <w:t>第二支柱</w:t>
            </w:r>
          </w:p>
        </w:tc>
        <w:tc>
          <w:tcPr>
            <w:tcW w:w="2914" w:type="dxa"/>
            <w:tcBorders>
              <w:top w:val="single" w:sz="4" w:space="0" w:color="auto"/>
              <w:left w:val="nil"/>
              <w:bottom w:val="single" w:sz="4" w:space="0" w:color="auto"/>
              <w:right w:val="single" w:sz="4" w:space="0" w:color="auto"/>
            </w:tcBorders>
            <w:shd w:val="clear" w:color="auto" w:fill="auto"/>
            <w:vAlign w:val="center"/>
          </w:tcPr>
          <w:p w:rsidR="007F6819" w:rsidRPr="00E06E98" w:rsidRDefault="007F6819" w:rsidP="007F6819">
            <w:pPr>
              <w:widowControl/>
              <w:jc w:val="center"/>
              <w:rPr>
                <w:rFonts w:ascii="宋体" w:eastAsia="宋体" w:hAnsi="宋体" w:cs="宋体"/>
                <w:b/>
                <w:color w:val="000000"/>
                <w:kern w:val="0"/>
                <w:sz w:val="22"/>
              </w:rPr>
            </w:pPr>
            <w:r w:rsidRPr="00E06E98">
              <w:rPr>
                <w:rFonts w:ascii="宋体" w:eastAsia="宋体" w:hAnsi="宋体" w:cs="宋体" w:hint="eastAsia"/>
                <w:b/>
                <w:color w:val="000000"/>
                <w:kern w:val="0"/>
                <w:sz w:val="22"/>
              </w:rPr>
              <w:t>第三支柱</w:t>
            </w:r>
          </w:p>
        </w:tc>
      </w:tr>
      <w:tr w:rsidR="007F6819" w:rsidRPr="00E06E98" w:rsidTr="00BA3136">
        <w:trPr>
          <w:trHeight w:val="996"/>
        </w:trPr>
        <w:tc>
          <w:tcPr>
            <w:tcW w:w="2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819" w:rsidRPr="00E06E98" w:rsidRDefault="007F6819" w:rsidP="007F6819">
            <w:pPr>
              <w:widowControl/>
              <w:jc w:val="center"/>
              <w:rPr>
                <w:rFonts w:ascii="宋体" w:eastAsia="宋体" w:hAnsi="宋体" w:cs="宋体"/>
                <w:color w:val="000000"/>
                <w:kern w:val="0"/>
                <w:sz w:val="22"/>
              </w:rPr>
            </w:pPr>
            <w:r w:rsidRPr="00E06E98">
              <w:rPr>
                <w:rFonts w:ascii="宋体" w:eastAsia="宋体" w:hAnsi="宋体" w:cs="宋体" w:hint="eastAsia"/>
                <w:color w:val="000000"/>
                <w:kern w:val="0"/>
                <w:sz w:val="22"/>
              </w:rPr>
              <w:t>基本养老金</w:t>
            </w:r>
            <w:r w:rsidRPr="00E06E98">
              <w:rPr>
                <w:rFonts w:ascii="宋体" w:eastAsia="宋体" w:hAnsi="宋体" w:cs="宋体" w:hint="eastAsia"/>
                <w:color w:val="000000"/>
                <w:kern w:val="0"/>
                <w:sz w:val="22"/>
              </w:rPr>
              <w:br/>
              <w:t>（age pension）</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F6819" w:rsidRPr="00E06E98" w:rsidRDefault="007F6819" w:rsidP="007F6819">
            <w:pPr>
              <w:widowControl/>
              <w:jc w:val="center"/>
              <w:rPr>
                <w:rFonts w:ascii="宋体" w:eastAsia="宋体" w:hAnsi="宋体" w:cs="宋体"/>
                <w:color w:val="000000"/>
                <w:kern w:val="0"/>
                <w:sz w:val="22"/>
              </w:rPr>
            </w:pPr>
            <w:r w:rsidRPr="00E06E98">
              <w:rPr>
                <w:rFonts w:ascii="宋体" w:eastAsia="宋体" w:hAnsi="宋体" w:cs="宋体" w:hint="eastAsia"/>
                <w:color w:val="000000"/>
                <w:kern w:val="0"/>
                <w:sz w:val="22"/>
              </w:rPr>
              <w:t>保障型超级年金</w:t>
            </w:r>
            <w:r w:rsidRPr="00E06E98">
              <w:rPr>
                <w:rFonts w:ascii="宋体" w:eastAsia="宋体" w:hAnsi="宋体" w:cs="宋体" w:hint="eastAsia"/>
                <w:color w:val="000000"/>
                <w:kern w:val="0"/>
                <w:sz w:val="22"/>
              </w:rPr>
              <w:br/>
              <w:t>（superannuation guarantee）</w:t>
            </w:r>
          </w:p>
        </w:tc>
        <w:tc>
          <w:tcPr>
            <w:tcW w:w="2914" w:type="dxa"/>
            <w:tcBorders>
              <w:top w:val="single" w:sz="4" w:space="0" w:color="auto"/>
              <w:left w:val="nil"/>
              <w:bottom w:val="single" w:sz="4" w:space="0" w:color="auto"/>
              <w:right w:val="single" w:sz="4" w:space="0" w:color="auto"/>
            </w:tcBorders>
            <w:shd w:val="clear" w:color="auto" w:fill="auto"/>
            <w:vAlign w:val="center"/>
            <w:hideMark/>
          </w:tcPr>
          <w:p w:rsidR="007F6819" w:rsidRPr="00E06E98" w:rsidRDefault="007F6819" w:rsidP="007F6819">
            <w:pPr>
              <w:widowControl/>
              <w:jc w:val="center"/>
              <w:rPr>
                <w:rFonts w:ascii="宋体" w:eastAsia="宋体" w:hAnsi="宋体" w:cs="宋体"/>
                <w:color w:val="000000"/>
                <w:kern w:val="0"/>
                <w:sz w:val="22"/>
              </w:rPr>
            </w:pPr>
            <w:r w:rsidRPr="00E06E98">
              <w:rPr>
                <w:rFonts w:ascii="宋体" w:eastAsia="宋体" w:hAnsi="宋体" w:cs="宋体" w:hint="eastAsia"/>
                <w:color w:val="000000"/>
                <w:kern w:val="0"/>
                <w:sz w:val="22"/>
              </w:rPr>
              <w:t>自愿型超级年金</w:t>
            </w:r>
            <w:r w:rsidRPr="00E06E98">
              <w:rPr>
                <w:rStyle w:val="a5"/>
                <w:rFonts w:ascii="宋体" w:eastAsia="宋体" w:hAnsi="宋体" w:cs="宋体"/>
                <w:color w:val="000000"/>
                <w:kern w:val="0"/>
                <w:sz w:val="22"/>
              </w:rPr>
              <w:footnoteReference w:id="1"/>
            </w:r>
            <w:r w:rsidRPr="00E06E98">
              <w:rPr>
                <w:rFonts w:ascii="宋体" w:eastAsia="宋体" w:hAnsi="宋体" w:cs="宋体" w:hint="eastAsia"/>
                <w:color w:val="000000"/>
                <w:kern w:val="0"/>
                <w:sz w:val="22"/>
              </w:rPr>
              <w:br/>
              <w:t>（voluntary superannuation）</w:t>
            </w:r>
          </w:p>
        </w:tc>
      </w:tr>
      <w:tr w:rsidR="007F6819" w:rsidRPr="00E06E98" w:rsidTr="007F6819">
        <w:trPr>
          <w:trHeight w:val="532"/>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7F6819" w:rsidRPr="00E06E98" w:rsidRDefault="007F6819" w:rsidP="007F6819">
            <w:pPr>
              <w:widowControl/>
              <w:jc w:val="center"/>
              <w:rPr>
                <w:rFonts w:ascii="宋体" w:eastAsia="宋体" w:hAnsi="宋体" w:cs="宋体"/>
                <w:color w:val="000000"/>
                <w:kern w:val="0"/>
                <w:sz w:val="22"/>
              </w:rPr>
            </w:pPr>
            <w:r w:rsidRPr="00E06E98">
              <w:rPr>
                <w:rFonts w:ascii="宋体" w:eastAsia="宋体" w:hAnsi="宋体" w:cs="宋体" w:hint="eastAsia"/>
                <w:b/>
                <w:color w:val="000000"/>
                <w:kern w:val="0"/>
                <w:sz w:val="22"/>
              </w:rPr>
              <w:t>储备</w:t>
            </w:r>
            <w:r w:rsidRPr="00E06E98">
              <w:rPr>
                <w:rFonts w:ascii="宋体" w:eastAsia="宋体" w:hAnsi="宋体" w:cs="宋体"/>
                <w:b/>
                <w:color w:val="000000"/>
                <w:kern w:val="0"/>
                <w:sz w:val="22"/>
              </w:rPr>
              <w:t>养老金</w:t>
            </w:r>
            <w:r w:rsidRPr="00E06E98">
              <w:rPr>
                <w:rFonts w:ascii="宋体" w:eastAsia="宋体" w:hAnsi="宋体" w:cs="宋体"/>
                <w:color w:val="000000"/>
                <w:kern w:val="0"/>
                <w:sz w:val="22"/>
              </w:rPr>
              <w:t>：澳大利亚未来基金</w:t>
            </w:r>
            <w:r w:rsidRPr="00E06E98">
              <w:rPr>
                <w:rFonts w:ascii="宋体" w:eastAsia="宋体" w:hAnsi="宋体" w:cs="宋体" w:hint="eastAsia"/>
                <w:color w:val="000000"/>
                <w:kern w:val="0"/>
                <w:sz w:val="22"/>
              </w:rPr>
              <w:t>（Australia future</w:t>
            </w:r>
            <w:r w:rsidRPr="00E06E98">
              <w:rPr>
                <w:rFonts w:ascii="宋体" w:eastAsia="宋体" w:hAnsi="宋体" w:cs="宋体"/>
                <w:color w:val="000000"/>
                <w:kern w:val="0"/>
                <w:sz w:val="22"/>
              </w:rPr>
              <w:t xml:space="preserve"> fund</w:t>
            </w:r>
            <w:r w:rsidRPr="00E06E98">
              <w:rPr>
                <w:rFonts w:ascii="宋体" w:eastAsia="宋体" w:hAnsi="宋体" w:cs="宋体" w:hint="eastAsia"/>
                <w:color w:val="000000"/>
                <w:kern w:val="0"/>
                <w:sz w:val="22"/>
              </w:rPr>
              <w:t>）</w:t>
            </w:r>
          </w:p>
        </w:tc>
      </w:tr>
    </w:tbl>
    <w:p w:rsidR="00B346B1" w:rsidRPr="00C259A6" w:rsidRDefault="002D7C5A" w:rsidP="008804D1">
      <w:pPr>
        <w:pStyle w:val="a4"/>
      </w:pPr>
      <w:r>
        <w:rPr>
          <w:rFonts w:hint="eastAsia"/>
        </w:rPr>
        <w:t>注：</w:t>
      </w:r>
      <w:r>
        <w:rPr>
          <w:rFonts w:asciiTheme="minorEastAsia" w:hAnsiTheme="minorEastAsia" w:hint="eastAsia"/>
        </w:rPr>
        <w:t>①</w:t>
      </w:r>
      <w:r w:rsidR="00C259A6">
        <w:rPr>
          <w:rFonts w:hint="eastAsia"/>
        </w:rPr>
        <w:t>自愿</w:t>
      </w:r>
      <w:r w:rsidR="00C259A6">
        <w:t>型超级年金以外的</w:t>
      </w:r>
      <w:r w:rsidR="00C259A6">
        <w:rPr>
          <w:rFonts w:hint="eastAsia"/>
        </w:rPr>
        <w:t>个人</w:t>
      </w:r>
      <w:r w:rsidR="00C259A6">
        <w:t>养老储蓄也包括</w:t>
      </w:r>
      <w:r w:rsidR="00C259A6">
        <w:rPr>
          <w:rFonts w:hint="eastAsia"/>
        </w:rPr>
        <w:t>自有</w:t>
      </w:r>
      <w:r w:rsidR="00C259A6">
        <w:t>房产和其他类金融资产。</w:t>
      </w:r>
    </w:p>
    <w:p w:rsidR="00A65C70" w:rsidRPr="007501FF" w:rsidRDefault="009C6715" w:rsidP="007501FF">
      <w:pPr>
        <w:pStyle w:val="2"/>
        <w:rPr>
          <w:sz w:val="28"/>
          <w:szCs w:val="28"/>
        </w:rPr>
      </w:pPr>
      <w:r>
        <w:rPr>
          <w:rStyle w:val="2Char"/>
          <w:rFonts w:hint="eastAsia"/>
          <w:sz w:val="28"/>
          <w:szCs w:val="28"/>
        </w:rPr>
        <w:lastRenderedPageBreak/>
        <w:t>（一）</w:t>
      </w:r>
      <w:r w:rsidR="00000ECC" w:rsidRPr="007501FF">
        <w:rPr>
          <w:rFonts w:hint="eastAsia"/>
          <w:sz w:val="28"/>
          <w:szCs w:val="28"/>
        </w:rPr>
        <w:t>澳大利亚基本养老金</w:t>
      </w:r>
    </w:p>
    <w:p w:rsidR="00000ECC" w:rsidRPr="00000ECC" w:rsidRDefault="00000ECC" w:rsidP="00C259A6">
      <w:r>
        <w:rPr>
          <w:rFonts w:hint="eastAsia"/>
        </w:rPr>
        <w:t>澳大利亚</w:t>
      </w:r>
      <w:r>
        <w:t>养老金第一支柱是政府向所有公民提供的基本养老</w:t>
      </w:r>
      <w:r>
        <w:rPr>
          <w:rFonts w:hint="eastAsia"/>
        </w:rPr>
        <w:t>金</w:t>
      </w:r>
      <w:r>
        <w:t>（</w:t>
      </w:r>
      <w:r w:rsidR="002D7C5A">
        <w:rPr>
          <w:rFonts w:hint="eastAsia"/>
        </w:rPr>
        <w:t>A</w:t>
      </w:r>
      <w:r>
        <w:rPr>
          <w:rFonts w:hint="eastAsia"/>
        </w:rPr>
        <w:t>ge</w:t>
      </w:r>
      <w:r w:rsidR="002D7C5A">
        <w:rPr>
          <w:rFonts w:hint="eastAsia"/>
        </w:rPr>
        <w:t xml:space="preserve"> P</w:t>
      </w:r>
      <w:r>
        <w:t>ension</w:t>
      </w:r>
      <w:r>
        <w:t>）</w:t>
      </w:r>
      <w:r>
        <w:rPr>
          <w:rFonts w:hint="eastAsia"/>
        </w:rPr>
        <w:t>，</w:t>
      </w:r>
      <w:r>
        <w:t>最早可以追溯到</w:t>
      </w:r>
      <w:r>
        <w:rPr>
          <w:rFonts w:hint="eastAsia"/>
        </w:rPr>
        <w:t>1909</w:t>
      </w:r>
      <w:r>
        <w:rPr>
          <w:rFonts w:hint="eastAsia"/>
        </w:rPr>
        <w:t>年</w:t>
      </w:r>
      <w:r>
        <w:t>。</w:t>
      </w:r>
      <w:r>
        <w:rPr>
          <w:rFonts w:hint="eastAsia"/>
        </w:rPr>
        <w:t>基本</w:t>
      </w:r>
      <w:r>
        <w:t>养老金对所有超过</w:t>
      </w:r>
      <w:r>
        <w:rPr>
          <w:rFonts w:hint="eastAsia"/>
        </w:rPr>
        <w:t>65</w:t>
      </w:r>
      <w:r>
        <w:rPr>
          <w:rFonts w:hint="eastAsia"/>
        </w:rPr>
        <w:t>岁</w:t>
      </w:r>
      <w:r>
        <w:t>的澳大利亚公民发放，</w:t>
      </w:r>
      <w:r>
        <w:rPr>
          <w:rFonts w:hint="eastAsia"/>
        </w:rPr>
        <w:t>属于</w:t>
      </w:r>
      <w:r>
        <w:t>典型的</w:t>
      </w:r>
      <w:r>
        <w:t>DB</w:t>
      </w:r>
      <w:r>
        <w:t>计划。</w:t>
      </w:r>
      <w:r w:rsidRPr="0032034F">
        <w:rPr>
          <w:rFonts w:hint="eastAsia"/>
        </w:rPr>
        <w:t>待遇水平根据收入水平和资产水平的调查结果来决定，</w:t>
      </w:r>
      <w:r>
        <w:t>澳大利亚政府</w:t>
      </w:r>
      <w:r>
        <w:rPr>
          <w:rFonts w:hint="eastAsia"/>
        </w:rPr>
        <w:t>以</w:t>
      </w:r>
      <w:r>
        <w:t>两年</w:t>
      </w:r>
      <w:r>
        <w:rPr>
          <w:rFonts w:hint="eastAsia"/>
        </w:rPr>
        <w:t>为</w:t>
      </w:r>
      <w:r>
        <w:t>一个周期</w:t>
      </w:r>
      <w:r w:rsidR="009C6715">
        <w:rPr>
          <w:rFonts w:hint="eastAsia"/>
        </w:rPr>
        <w:t>，</w:t>
      </w:r>
      <w:r>
        <w:t>根据物价水平和</w:t>
      </w:r>
      <w:r>
        <w:rPr>
          <w:rFonts w:hint="eastAsia"/>
        </w:rPr>
        <w:t>工资</w:t>
      </w:r>
      <w:r>
        <w:t>水平对</w:t>
      </w:r>
      <w:r>
        <w:rPr>
          <w:rFonts w:hint="eastAsia"/>
        </w:rPr>
        <w:t>基本</w:t>
      </w:r>
      <w:r>
        <w:t>养老金的</w:t>
      </w:r>
      <w:r>
        <w:rPr>
          <w:rFonts w:hint="eastAsia"/>
        </w:rPr>
        <w:t>发放水平</w:t>
      </w:r>
      <w:r>
        <w:t>进行调整。基本</w:t>
      </w:r>
      <w:r>
        <w:rPr>
          <w:rFonts w:hint="eastAsia"/>
        </w:rPr>
        <w:t>养老金一般</w:t>
      </w:r>
      <w:r>
        <w:t>两周发放一次</w:t>
      </w:r>
      <w:r>
        <w:rPr>
          <w:rFonts w:hint="eastAsia"/>
        </w:rPr>
        <w:t>。截至</w:t>
      </w:r>
      <w:r>
        <w:rPr>
          <w:rFonts w:hint="eastAsia"/>
        </w:rPr>
        <w:t>2017</w:t>
      </w:r>
      <w:r>
        <w:rPr>
          <w:rFonts w:hint="eastAsia"/>
        </w:rPr>
        <w:t>年底的</w:t>
      </w:r>
      <w:r>
        <w:t>标准为</w:t>
      </w:r>
      <w:r>
        <w:rPr>
          <w:rFonts w:hint="eastAsia"/>
        </w:rPr>
        <w:t>单身</w:t>
      </w:r>
      <w:r>
        <w:rPr>
          <w:rFonts w:hint="eastAsia"/>
        </w:rPr>
        <w:t>826.2</w:t>
      </w:r>
      <w:r>
        <w:rPr>
          <w:rFonts w:hint="eastAsia"/>
        </w:rPr>
        <w:t>澳元、</w:t>
      </w:r>
      <w:r>
        <w:t>夫妇</w:t>
      </w:r>
      <w:r>
        <w:rPr>
          <w:rFonts w:hint="eastAsia"/>
        </w:rPr>
        <w:t>每人</w:t>
      </w:r>
      <w:r>
        <w:rPr>
          <w:rFonts w:hint="eastAsia"/>
        </w:rPr>
        <w:t>622.8</w:t>
      </w:r>
      <w:r w:rsidR="0032034F">
        <w:rPr>
          <w:rFonts w:hint="eastAsia"/>
        </w:rPr>
        <w:t>澳元</w:t>
      </w:r>
      <w:r>
        <w:rPr>
          <w:rFonts w:hint="eastAsia"/>
        </w:rPr>
        <w:t>。单身</w:t>
      </w:r>
      <w:r>
        <w:t>双周收入</w:t>
      </w:r>
      <w:r>
        <w:rPr>
          <w:rFonts w:hint="eastAsia"/>
        </w:rPr>
        <w:t>少于</w:t>
      </w:r>
      <w:r>
        <w:rPr>
          <w:rFonts w:hint="eastAsia"/>
        </w:rPr>
        <w:t>168</w:t>
      </w:r>
      <w:r>
        <w:rPr>
          <w:rFonts w:hint="eastAsia"/>
        </w:rPr>
        <w:t>澳元、</w:t>
      </w:r>
      <w:r>
        <w:t>夫妇双周收入少于</w:t>
      </w:r>
      <w:r>
        <w:rPr>
          <w:rFonts w:hint="eastAsia"/>
        </w:rPr>
        <w:t>200</w:t>
      </w:r>
      <w:r>
        <w:rPr>
          <w:rFonts w:hint="eastAsia"/>
        </w:rPr>
        <w:t>澳元</w:t>
      </w:r>
      <w:r>
        <w:t>，且</w:t>
      </w:r>
      <w:r>
        <w:rPr>
          <w:rFonts w:hint="eastAsia"/>
        </w:rPr>
        <w:t>单身资产</w:t>
      </w:r>
      <w:r>
        <w:t>少于</w:t>
      </w:r>
      <w:r>
        <w:rPr>
          <w:rFonts w:hint="eastAsia"/>
        </w:rPr>
        <w:t>25</w:t>
      </w:r>
      <w:r>
        <w:rPr>
          <w:rFonts w:hint="eastAsia"/>
        </w:rPr>
        <w:t>万澳元</w:t>
      </w:r>
      <w:r>
        <w:t>或夫妇资产少于</w:t>
      </w:r>
      <w:r>
        <w:rPr>
          <w:rFonts w:hint="eastAsia"/>
        </w:rPr>
        <w:t>38</w:t>
      </w:r>
      <w:r>
        <w:rPr>
          <w:rFonts w:hint="eastAsia"/>
        </w:rPr>
        <w:t>万澳元可以</w:t>
      </w:r>
      <w:r>
        <w:t>获得全额的</w:t>
      </w:r>
      <w:r w:rsidR="0032034F">
        <w:rPr>
          <w:rFonts w:hint="eastAsia"/>
        </w:rPr>
        <w:t>基本</w:t>
      </w:r>
      <w:r w:rsidR="0032034F">
        <w:t>养老金</w:t>
      </w:r>
      <w:r>
        <w:t>。</w:t>
      </w:r>
      <w:r>
        <w:rPr>
          <w:rFonts w:hint="eastAsia"/>
        </w:rPr>
        <w:t>2016</w:t>
      </w:r>
      <w:r>
        <w:t>-2017</w:t>
      </w:r>
      <w:r>
        <w:rPr>
          <w:rFonts w:hint="eastAsia"/>
        </w:rPr>
        <w:t>财年澳大利亚</w:t>
      </w:r>
      <w:r>
        <w:t>政府支付</w:t>
      </w:r>
      <w:r>
        <w:rPr>
          <w:rFonts w:hint="eastAsia"/>
        </w:rPr>
        <w:t>了</w:t>
      </w:r>
      <w:r>
        <w:t>6</w:t>
      </w:r>
      <w:r>
        <w:rPr>
          <w:rFonts w:hint="eastAsia"/>
        </w:rPr>
        <w:t>22.7</w:t>
      </w:r>
      <w:r>
        <w:rPr>
          <w:rFonts w:hint="eastAsia"/>
        </w:rPr>
        <w:t>亿</w:t>
      </w:r>
      <w:r>
        <w:t>澳元用于基本养老金的发放，</w:t>
      </w:r>
      <w:r>
        <w:rPr>
          <w:rFonts w:hint="eastAsia"/>
        </w:rPr>
        <w:t>占</w:t>
      </w:r>
      <w:r>
        <w:t>当年</w:t>
      </w:r>
      <w:r>
        <w:rPr>
          <w:rFonts w:hint="eastAsia"/>
        </w:rPr>
        <w:t>GDP</w:t>
      </w:r>
      <w:r>
        <w:t>的</w:t>
      </w:r>
      <w:r>
        <w:rPr>
          <w:rFonts w:hint="eastAsia"/>
        </w:rPr>
        <w:t>4.72</w:t>
      </w:r>
      <w:r>
        <w:t>%</w:t>
      </w:r>
      <w:r>
        <w:t>。</w:t>
      </w:r>
      <w:r>
        <w:rPr>
          <w:rFonts w:hint="eastAsia"/>
        </w:rPr>
        <w:t>澳大</w:t>
      </w:r>
      <w:r>
        <w:t>利亚</w:t>
      </w:r>
      <w:r>
        <w:rPr>
          <w:rFonts w:hint="eastAsia"/>
        </w:rPr>
        <w:t>基本</w:t>
      </w:r>
      <w:r>
        <w:t>养老金</w:t>
      </w:r>
      <w:r>
        <w:rPr>
          <w:rFonts w:hint="eastAsia"/>
        </w:rPr>
        <w:t>全部</w:t>
      </w:r>
      <w:r>
        <w:t>来源于澳大利亚的税收等财政收入，</w:t>
      </w:r>
      <w:r>
        <w:rPr>
          <w:rFonts w:hint="eastAsia"/>
        </w:rPr>
        <w:t>支出进入</w:t>
      </w:r>
      <w:r>
        <w:t>每年的政府预算</w:t>
      </w:r>
      <w:r>
        <w:rPr>
          <w:rFonts w:hint="eastAsia"/>
        </w:rPr>
        <w:t>，</w:t>
      </w:r>
      <w:r>
        <w:t>公民并不需要额外缴费，</w:t>
      </w:r>
      <w:r>
        <w:rPr>
          <w:rFonts w:hint="eastAsia"/>
        </w:rPr>
        <w:t>所以</w:t>
      </w:r>
      <w:r>
        <w:t>基本养老金并</w:t>
      </w:r>
      <w:r w:rsidR="006558FA">
        <w:rPr>
          <w:rFonts w:hint="eastAsia"/>
        </w:rPr>
        <w:t>不</w:t>
      </w:r>
      <w:r w:rsidR="00F80457">
        <w:rPr>
          <w:rFonts w:hint="eastAsia"/>
        </w:rPr>
        <w:t>涉及资产投资管理</w:t>
      </w:r>
      <w:r>
        <w:t>。</w:t>
      </w:r>
    </w:p>
    <w:p w:rsidR="00A65C70" w:rsidRPr="007501FF" w:rsidRDefault="009C6715" w:rsidP="007501FF">
      <w:pPr>
        <w:pStyle w:val="2"/>
        <w:rPr>
          <w:sz w:val="28"/>
          <w:szCs w:val="28"/>
        </w:rPr>
      </w:pPr>
      <w:r>
        <w:rPr>
          <w:rStyle w:val="2Char"/>
          <w:rFonts w:hint="eastAsia"/>
          <w:sz w:val="28"/>
          <w:szCs w:val="28"/>
        </w:rPr>
        <w:t>（二）</w:t>
      </w:r>
      <w:r w:rsidR="00A65C70" w:rsidRPr="007501FF">
        <w:rPr>
          <w:sz w:val="28"/>
          <w:szCs w:val="28"/>
        </w:rPr>
        <w:t xml:space="preserve"> </w:t>
      </w:r>
      <w:r w:rsidR="00000ECC" w:rsidRPr="007501FF">
        <w:rPr>
          <w:rFonts w:hint="eastAsia"/>
          <w:sz w:val="28"/>
          <w:szCs w:val="28"/>
        </w:rPr>
        <w:t>澳大利亚</w:t>
      </w:r>
      <w:r w:rsidR="00000ECC" w:rsidRPr="007501FF">
        <w:rPr>
          <w:sz w:val="28"/>
          <w:szCs w:val="28"/>
        </w:rPr>
        <w:t>保障型超级年金</w:t>
      </w:r>
    </w:p>
    <w:p w:rsidR="000D536C" w:rsidRDefault="000D536C" w:rsidP="009C6715">
      <w:r>
        <w:rPr>
          <w:rFonts w:hint="eastAsia"/>
        </w:rPr>
        <w:t>澳大利亚</w:t>
      </w:r>
      <w:r>
        <w:t>现行的</w:t>
      </w:r>
      <w:r>
        <w:rPr>
          <w:rFonts w:hint="eastAsia"/>
        </w:rPr>
        <w:t>养老金</w:t>
      </w:r>
      <w:r>
        <w:t>第二支柱</w:t>
      </w:r>
      <w:r>
        <w:rPr>
          <w:rFonts w:hint="eastAsia"/>
        </w:rPr>
        <w:t>是</w:t>
      </w:r>
      <w:r>
        <w:t>保障型超级年金（</w:t>
      </w:r>
      <w:r>
        <w:rPr>
          <w:rFonts w:hint="eastAsia"/>
        </w:rPr>
        <w:t>Superannuation</w:t>
      </w:r>
      <w:r>
        <w:t xml:space="preserve"> Guarantee</w:t>
      </w:r>
      <w:r>
        <w:t>）</w:t>
      </w:r>
      <w:r>
        <w:rPr>
          <w:rFonts w:hint="eastAsia"/>
        </w:rPr>
        <w:t>，于</w:t>
      </w:r>
      <w:r>
        <w:rPr>
          <w:rFonts w:hint="eastAsia"/>
        </w:rPr>
        <w:t>1992</w:t>
      </w:r>
      <w:r>
        <w:rPr>
          <w:rFonts w:hint="eastAsia"/>
        </w:rPr>
        <w:t>年在</w:t>
      </w:r>
      <w:r>
        <w:t>超级年金保障法（</w:t>
      </w:r>
      <w:r>
        <w:rPr>
          <w:rFonts w:hint="eastAsia"/>
        </w:rPr>
        <w:t>1992 Superannuation</w:t>
      </w:r>
      <w:r>
        <w:t xml:space="preserve"> Guarantee Act</w:t>
      </w:r>
      <w:r>
        <w:t>）</w:t>
      </w:r>
      <w:r>
        <w:rPr>
          <w:rFonts w:hint="eastAsia"/>
        </w:rPr>
        <w:t>的</w:t>
      </w:r>
      <w:r>
        <w:t>指导下建立，</w:t>
      </w:r>
      <w:r>
        <w:rPr>
          <w:rFonts w:hint="eastAsia"/>
        </w:rPr>
        <w:t>由</w:t>
      </w:r>
      <w:r>
        <w:t>雇主强制缴费</w:t>
      </w:r>
      <w:r>
        <w:rPr>
          <w:rFonts w:hint="eastAsia"/>
        </w:rPr>
        <w:t>，</w:t>
      </w:r>
      <w:r>
        <w:t>主要</w:t>
      </w:r>
      <w:r>
        <w:rPr>
          <w:rFonts w:hint="eastAsia"/>
        </w:rPr>
        <w:t>实行</w:t>
      </w:r>
      <w:r>
        <w:t>基金累积制</w:t>
      </w:r>
      <w:r>
        <w:rPr>
          <w:rFonts w:hint="eastAsia"/>
        </w:rPr>
        <w:t>，</w:t>
      </w:r>
      <w:r>
        <w:t>属于</w:t>
      </w:r>
      <w:r>
        <w:rPr>
          <w:rFonts w:hint="eastAsia"/>
        </w:rPr>
        <w:t>缴费</w:t>
      </w:r>
      <w:r>
        <w:t>确定型</w:t>
      </w:r>
      <w:r>
        <w:rPr>
          <w:rFonts w:hint="eastAsia"/>
        </w:rPr>
        <w:t>养老</w:t>
      </w:r>
      <w:r>
        <w:t>计划（</w:t>
      </w:r>
      <w:r>
        <w:rPr>
          <w:rFonts w:hint="eastAsia"/>
        </w:rPr>
        <w:t>DC</w:t>
      </w:r>
      <w:r>
        <w:t>）</w:t>
      </w:r>
      <w:r>
        <w:rPr>
          <w:rFonts w:hint="eastAsia"/>
        </w:rPr>
        <w:t>。</w:t>
      </w:r>
    </w:p>
    <w:p w:rsidR="009C6715" w:rsidRPr="009C6715" w:rsidRDefault="009C6715" w:rsidP="009C6715"/>
    <w:p w:rsidR="00F84AE5" w:rsidRDefault="00FE1FBD" w:rsidP="009C6715">
      <w:r>
        <w:rPr>
          <w:rFonts w:hint="eastAsia"/>
        </w:rPr>
        <w:t>澳大利亚</w:t>
      </w:r>
      <w:r>
        <w:t>的年金历史最早可以追溯到</w:t>
      </w:r>
      <w:r>
        <w:rPr>
          <w:rFonts w:hint="eastAsia"/>
        </w:rPr>
        <w:t>19</w:t>
      </w:r>
      <w:r>
        <w:rPr>
          <w:rFonts w:hint="eastAsia"/>
        </w:rPr>
        <w:t>世纪。</w:t>
      </w:r>
      <w:r>
        <w:t>在</w:t>
      </w:r>
      <w:r>
        <w:rPr>
          <w:rFonts w:hint="eastAsia"/>
        </w:rPr>
        <w:t>19</w:t>
      </w:r>
      <w:r>
        <w:rPr>
          <w:rFonts w:hint="eastAsia"/>
        </w:rPr>
        <w:t>世纪</w:t>
      </w:r>
      <w:r>
        <w:t>中期</w:t>
      </w:r>
      <w:r>
        <w:rPr>
          <w:rFonts w:hint="eastAsia"/>
        </w:rPr>
        <w:t>，一些从事</w:t>
      </w:r>
      <w:r>
        <w:t>公共服务人员和白领阶层</w:t>
      </w:r>
      <w:r>
        <w:rPr>
          <w:rFonts w:hint="eastAsia"/>
        </w:rPr>
        <w:t>获得</w:t>
      </w:r>
      <w:r>
        <w:t>作为员工福利的养老</w:t>
      </w:r>
      <w:r>
        <w:rPr>
          <w:rFonts w:hint="eastAsia"/>
        </w:rPr>
        <w:t>金</w:t>
      </w:r>
      <w:r>
        <w:t>。</w:t>
      </w:r>
      <w:r>
        <w:rPr>
          <w:rFonts w:hint="eastAsia"/>
        </w:rPr>
        <w:t>20</w:t>
      </w:r>
      <w:r>
        <w:rPr>
          <w:rFonts w:hint="eastAsia"/>
        </w:rPr>
        <w:t>世纪</w:t>
      </w:r>
      <w:r>
        <w:rPr>
          <w:rFonts w:hint="eastAsia"/>
        </w:rPr>
        <w:t>80</w:t>
      </w:r>
      <w:r>
        <w:rPr>
          <w:rFonts w:hint="eastAsia"/>
        </w:rPr>
        <w:t>年代</w:t>
      </w:r>
      <w:r>
        <w:t>，</w:t>
      </w:r>
      <w:r>
        <w:rPr>
          <w:rFonts w:hint="eastAsia"/>
        </w:rPr>
        <w:t>澳</w:t>
      </w:r>
      <w:r>
        <w:t>大利亚总工会和</w:t>
      </w:r>
      <w:r>
        <w:rPr>
          <w:rFonts w:hint="eastAsia"/>
        </w:rPr>
        <w:t>澳大利亚政府达成协议</w:t>
      </w:r>
      <w:r>
        <w:t>，</w:t>
      </w:r>
      <w:r>
        <w:rPr>
          <w:rFonts w:hint="eastAsia"/>
        </w:rPr>
        <w:t>雇主</w:t>
      </w:r>
      <w:r>
        <w:t>将每年工资上涨</w:t>
      </w:r>
      <w:r>
        <w:rPr>
          <w:rFonts w:hint="eastAsia"/>
        </w:rPr>
        <w:t>3</w:t>
      </w:r>
      <w:r>
        <w:t>%</w:t>
      </w:r>
      <w:r>
        <w:rPr>
          <w:rFonts w:hint="eastAsia"/>
        </w:rPr>
        <w:t>的</w:t>
      </w:r>
      <w:r>
        <w:t>部分</w:t>
      </w:r>
      <w:r>
        <w:rPr>
          <w:rFonts w:hint="eastAsia"/>
        </w:rPr>
        <w:t>转为</w:t>
      </w:r>
      <w:r>
        <w:t>缴纳到雇员的养老金账户。</w:t>
      </w:r>
      <w:r>
        <w:rPr>
          <w:rFonts w:hint="eastAsia"/>
        </w:rPr>
        <w:t>1992</w:t>
      </w:r>
      <w:r>
        <w:rPr>
          <w:rFonts w:hint="eastAsia"/>
        </w:rPr>
        <w:t>年</w:t>
      </w:r>
      <w:r>
        <w:t>，澳大利亚</w:t>
      </w:r>
      <w:r>
        <w:rPr>
          <w:rFonts w:hint="eastAsia"/>
        </w:rPr>
        <w:t>政府</w:t>
      </w:r>
      <w:r>
        <w:t>推出超级年金保障法</w:t>
      </w:r>
      <w:r>
        <w:rPr>
          <w:rFonts w:hint="eastAsia"/>
        </w:rPr>
        <w:t>（</w:t>
      </w:r>
      <w:r>
        <w:rPr>
          <w:rFonts w:hint="eastAsia"/>
        </w:rPr>
        <w:t>1992 Superannuation</w:t>
      </w:r>
      <w:r>
        <w:t xml:space="preserve"> Guarantee Act</w:t>
      </w:r>
      <w:r>
        <w:rPr>
          <w:rFonts w:hint="eastAsia"/>
        </w:rPr>
        <w:t>），</w:t>
      </w:r>
      <w:r>
        <w:t>正式</w:t>
      </w:r>
      <w:r>
        <w:rPr>
          <w:rFonts w:hint="eastAsia"/>
        </w:rPr>
        <w:t>确立保障型</w:t>
      </w:r>
      <w:r>
        <w:t>超级年金作为三支柱</w:t>
      </w:r>
      <w:r w:rsidR="002E6012">
        <w:t>养老金体系</w:t>
      </w:r>
      <w:r>
        <w:t>中的第二支柱。</w:t>
      </w:r>
      <w:r>
        <w:rPr>
          <w:rFonts w:hint="eastAsia"/>
        </w:rPr>
        <w:t>2014</w:t>
      </w:r>
      <w:r>
        <w:rPr>
          <w:rFonts w:hint="eastAsia"/>
        </w:rPr>
        <w:t>年</w:t>
      </w:r>
      <w:r>
        <w:t>，澳大利亚政府</w:t>
      </w:r>
      <w:r>
        <w:rPr>
          <w:rFonts w:hint="eastAsia"/>
        </w:rPr>
        <w:t>引入</w:t>
      </w:r>
      <w:r>
        <w:t>Mysuper</w:t>
      </w:r>
      <w:r>
        <w:t>账户作为雇员默认的</w:t>
      </w:r>
      <w:r>
        <w:rPr>
          <w:rFonts w:hint="eastAsia"/>
        </w:rPr>
        <w:t>超级</w:t>
      </w:r>
      <w:r>
        <w:t>年金账户选项，</w:t>
      </w:r>
      <w:r>
        <w:rPr>
          <w:rFonts w:hint="eastAsia"/>
        </w:rPr>
        <w:t>要求所有</w:t>
      </w:r>
      <w:r>
        <w:t>默认</w:t>
      </w:r>
      <w:r>
        <w:rPr>
          <w:rFonts w:hint="eastAsia"/>
        </w:rPr>
        <w:t>选项</w:t>
      </w:r>
      <w:r>
        <w:t>的超级年金缴费</w:t>
      </w:r>
      <w:r>
        <w:rPr>
          <w:rFonts w:hint="eastAsia"/>
        </w:rPr>
        <w:t>和</w:t>
      </w:r>
      <w:r>
        <w:t>投资必须</w:t>
      </w:r>
      <w:r>
        <w:rPr>
          <w:rFonts w:hint="eastAsia"/>
        </w:rPr>
        <w:t>在</w:t>
      </w:r>
      <w:r>
        <w:t>Mysuper</w:t>
      </w:r>
      <w:r>
        <w:t>账户</w:t>
      </w:r>
      <w:r>
        <w:rPr>
          <w:rFonts w:hint="eastAsia"/>
        </w:rPr>
        <w:t>中</w:t>
      </w:r>
      <w:r>
        <w:t>进行</w:t>
      </w:r>
      <w:r>
        <w:rPr>
          <w:rFonts w:hint="eastAsia"/>
        </w:rPr>
        <w:t>。</w:t>
      </w:r>
      <w:r w:rsidR="001638D0">
        <w:rPr>
          <w:rFonts w:hint="eastAsia"/>
        </w:rPr>
        <w:t>澳大利亚</w:t>
      </w:r>
      <w:r w:rsidR="001638D0">
        <w:t>超级年金</w:t>
      </w:r>
      <w:r w:rsidR="00730B8B">
        <w:rPr>
          <w:rFonts w:hint="eastAsia"/>
        </w:rPr>
        <w:t>面向</w:t>
      </w:r>
      <w:bookmarkStart w:id="0" w:name="_GoBack"/>
      <w:bookmarkEnd w:id="0"/>
      <w:r w:rsidR="001638D0">
        <w:t>所有的澳大利亚雇员以及自我雇佣者，由雇主强制进行缴费，</w:t>
      </w:r>
      <w:r w:rsidR="001638D0">
        <w:rPr>
          <w:rFonts w:hint="eastAsia"/>
        </w:rPr>
        <w:t>现行</w:t>
      </w:r>
      <w:r w:rsidR="001638D0">
        <w:t>的缴费费率为</w:t>
      </w:r>
      <w:r w:rsidR="001638D0">
        <w:rPr>
          <w:rFonts w:hint="eastAsia"/>
        </w:rPr>
        <w:t>9.5</w:t>
      </w:r>
      <w:r w:rsidR="001638D0">
        <w:t>%</w:t>
      </w:r>
      <w:r w:rsidR="001638D0">
        <w:t>。</w:t>
      </w:r>
    </w:p>
    <w:p w:rsidR="009C6715" w:rsidRPr="00783B73" w:rsidRDefault="009C6715" w:rsidP="009C6715"/>
    <w:p w:rsidR="00F84AE5" w:rsidRDefault="00F84AE5" w:rsidP="009C6715">
      <w:r>
        <w:rPr>
          <w:rFonts w:hint="eastAsia"/>
        </w:rPr>
        <w:t>澳大利亚保障型</w:t>
      </w:r>
      <w:r>
        <w:t>超级年金</w:t>
      </w:r>
      <w:r>
        <w:rPr>
          <w:rFonts w:hint="eastAsia"/>
        </w:rPr>
        <w:t>在</w:t>
      </w:r>
      <w:r>
        <w:rPr>
          <w:rFonts w:hint="eastAsia"/>
        </w:rPr>
        <w:t>15</w:t>
      </w:r>
      <w:r w:rsidR="009C6715">
        <w:rPr>
          <w:rFonts w:hint="eastAsia"/>
        </w:rPr>
        <w:t>~</w:t>
      </w:r>
      <w:r>
        <w:t>64</w:t>
      </w:r>
      <w:r>
        <w:rPr>
          <w:rFonts w:hint="eastAsia"/>
        </w:rPr>
        <w:t>岁</w:t>
      </w:r>
      <w:r>
        <w:t>人口中的覆盖率大约为</w:t>
      </w:r>
      <w:r>
        <w:rPr>
          <w:rFonts w:hint="eastAsia"/>
        </w:rPr>
        <w:t>77.78</w:t>
      </w:r>
      <w:r>
        <w:t>%</w:t>
      </w:r>
      <w:r>
        <w:t>，</w:t>
      </w:r>
      <w:r>
        <w:rPr>
          <w:rFonts w:hint="eastAsia"/>
        </w:rPr>
        <w:t>其中男性</w:t>
      </w:r>
      <w:r>
        <w:t>覆盖率</w:t>
      </w:r>
      <w:r>
        <w:rPr>
          <w:rFonts w:hint="eastAsia"/>
        </w:rPr>
        <w:t>约</w:t>
      </w:r>
      <w:r>
        <w:t>为</w:t>
      </w:r>
      <w:r>
        <w:rPr>
          <w:rFonts w:hint="eastAsia"/>
        </w:rPr>
        <w:t>80%</w:t>
      </w:r>
      <w:r>
        <w:rPr>
          <w:rFonts w:hint="eastAsia"/>
        </w:rPr>
        <w:t>；女性</w:t>
      </w:r>
      <w:r>
        <w:t>覆盖率稍低</w:t>
      </w:r>
      <w:r>
        <w:rPr>
          <w:rFonts w:hint="eastAsia"/>
        </w:rPr>
        <w:t>，约为</w:t>
      </w:r>
      <w:r>
        <w:rPr>
          <w:rFonts w:hint="eastAsia"/>
        </w:rPr>
        <w:t>7</w:t>
      </w:r>
      <w:r w:rsidR="009C6715">
        <w:rPr>
          <w:rFonts w:hint="eastAsia"/>
        </w:rPr>
        <w:t>6</w:t>
      </w:r>
      <w:r>
        <w:t>%</w:t>
      </w:r>
      <w:r>
        <w:t>。</w:t>
      </w:r>
    </w:p>
    <w:p w:rsidR="009C6715" w:rsidRPr="009C6715" w:rsidRDefault="009C6715" w:rsidP="009C6715"/>
    <w:p w:rsidR="00F84AE5" w:rsidRPr="002D7C5A" w:rsidRDefault="00F84AE5" w:rsidP="00F84AE5">
      <w:pPr>
        <w:pStyle w:val="af"/>
        <w:keepNext/>
        <w:jc w:val="center"/>
        <w:rPr>
          <w:b/>
        </w:rPr>
      </w:pPr>
      <w:r w:rsidRPr="002D7C5A">
        <w:rPr>
          <w:rFonts w:hint="eastAsia"/>
          <w:b/>
        </w:rPr>
        <w:t>表</w:t>
      </w:r>
      <w:r w:rsidRPr="002D7C5A">
        <w:rPr>
          <w:rFonts w:hint="eastAsia"/>
          <w:b/>
        </w:rPr>
        <w:t xml:space="preserve"> </w:t>
      </w:r>
      <w:r w:rsidR="009D2541" w:rsidRPr="002D7C5A">
        <w:rPr>
          <w:b/>
        </w:rPr>
        <w:fldChar w:fldCharType="begin"/>
      </w:r>
      <w:r w:rsidRPr="002D7C5A">
        <w:rPr>
          <w:b/>
        </w:rPr>
        <w:instrText xml:space="preserve"> </w:instrText>
      </w:r>
      <w:r w:rsidRPr="002D7C5A">
        <w:rPr>
          <w:rFonts w:hint="eastAsia"/>
          <w:b/>
        </w:rPr>
        <w:instrText xml:space="preserve">SEQ </w:instrText>
      </w:r>
      <w:r w:rsidRPr="002D7C5A">
        <w:rPr>
          <w:rFonts w:hint="eastAsia"/>
          <w:b/>
        </w:rPr>
        <w:instrText>表</w:instrText>
      </w:r>
      <w:r w:rsidRPr="002D7C5A">
        <w:rPr>
          <w:rFonts w:hint="eastAsia"/>
          <w:b/>
        </w:rPr>
        <w:instrText xml:space="preserve"> \* ARABIC</w:instrText>
      </w:r>
      <w:r w:rsidRPr="002D7C5A">
        <w:rPr>
          <w:b/>
        </w:rPr>
        <w:instrText xml:space="preserve"> </w:instrText>
      </w:r>
      <w:r w:rsidR="009D2541" w:rsidRPr="002D7C5A">
        <w:rPr>
          <w:b/>
        </w:rPr>
        <w:fldChar w:fldCharType="separate"/>
      </w:r>
      <w:r w:rsidR="003559DA" w:rsidRPr="002D7C5A">
        <w:rPr>
          <w:b/>
          <w:noProof/>
        </w:rPr>
        <w:t>2</w:t>
      </w:r>
      <w:r w:rsidR="009D2541" w:rsidRPr="002D7C5A">
        <w:rPr>
          <w:b/>
        </w:rPr>
        <w:fldChar w:fldCharType="end"/>
      </w:r>
      <w:r w:rsidRPr="002D7C5A">
        <w:rPr>
          <w:rFonts w:hint="eastAsia"/>
          <w:b/>
        </w:rPr>
        <w:t>澳大利亚超级年金</w:t>
      </w:r>
      <w:r w:rsidRPr="002D7C5A">
        <w:rPr>
          <w:b/>
        </w:rPr>
        <w:t>覆盖率</w:t>
      </w:r>
    </w:p>
    <w:tbl>
      <w:tblPr>
        <w:tblStyle w:val="31"/>
        <w:tblW w:w="0" w:type="auto"/>
        <w:jc w:val="center"/>
        <w:tblBorders>
          <w:top w:val="single" w:sz="4" w:space="0" w:color="auto"/>
          <w:bottom w:val="single" w:sz="4" w:space="0" w:color="auto"/>
          <w:insideH w:val="single" w:sz="4" w:space="0" w:color="auto"/>
          <w:insideV w:val="single" w:sz="4" w:space="0" w:color="auto"/>
        </w:tblBorders>
        <w:tblLook w:val="04A0"/>
      </w:tblPr>
      <w:tblGrid>
        <w:gridCol w:w="826"/>
        <w:gridCol w:w="553"/>
        <w:gridCol w:w="553"/>
        <w:gridCol w:w="536"/>
        <w:gridCol w:w="536"/>
        <w:gridCol w:w="536"/>
        <w:gridCol w:w="536"/>
        <w:gridCol w:w="536"/>
        <w:gridCol w:w="536"/>
        <w:gridCol w:w="536"/>
        <w:gridCol w:w="536"/>
      </w:tblGrid>
      <w:tr w:rsidR="00F84AE5" w:rsidRPr="00630496" w:rsidTr="009C6715">
        <w:trPr>
          <w:cnfStyle w:val="100000000000"/>
          <w:trHeight w:val="270"/>
          <w:jc w:val="center"/>
        </w:trPr>
        <w:tc>
          <w:tcPr>
            <w:cnfStyle w:val="001000000100"/>
            <w:tcW w:w="0" w:type="auto"/>
            <w:tcBorders>
              <w:bottom w:val="none" w:sz="0" w:space="0" w:color="auto"/>
              <w:right w:val="none" w:sz="0" w:space="0" w:color="auto"/>
            </w:tcBorders>
            <w:shd w:val="clear" w:color="auto" w:fill="auto"/>
            <w:noWrap/>
            <w:hideMark/>
          </w:tcPr>
          <w:p w:rsidR="00F84AE5" w:rsidRPr="00E8167C" w:rsidRDefault="00F84AE5" w:rsidP="00FE1FBD">
            <w:pPr>
              <w:widowControl/>
              <w:jc w:val="left"/>
              <w:rPr>
                <w:rFonts w:ascii="宋体" w:eastAsia="宋体" w:hAnsi="宋体" w:cs="宋体"/>
                <w:kern w:val="0"/>
                <w:sz w:val="18"/>
                <w:szCs w:val="18"/>
              </w:rPr>
            </w:pPr>
            <w:r w:rsidRPr="00E8167C">
              <w:rPr>
                <w:rFonts w:ascii="宋体" w:eastAsia="宋体" w:hAnsi="宋体" w:cs="宋体" w:hint="eastAsia"/>
                <w:kern w:val="0"/>
                <w:sz w:val="18"/>
                <w:szCs w:val="18"/>
              </w:rPr>
              <w:t>时间</w:t>
            </w:r>
          </w:p>
        </w:tc>
        <w:tc>
          <w:tcPr>
            <w:tcW w:w="0" w:type="auto"/>
            <w:gridSpan w:val="2"/>
            <w:tcBorders>
              <w:bottom w:val="none" w:sz="0" w:space="0" w:color="auto"/>
            </w:tcBorders>
            <w:shd w:val="clear" w:color="auto" w:fill="auto"/>
            <w:noWrap/>
            <w:hideMark/>
          </w:tcPr>
          <w:p w:rsidR="00F84AE5" w:rsidRPr="00630496" w:rsidRDefault="00F84AE5" w:rsidP="00FE1FBD">
            <w:pPr>
              <w:widowControl/>
              <w:jc w:val="center"/>
              <w:cnfStyle w:val="100000000000"/>
              <w:rPr>
                <w:rFonts w:ascii="Arial" w:eastAsia="宋体" w:hAnsi="Arial" w:cs="Arial"/>
                <w:color w:val="000000"/>
                <w:kern w:val="0"/>
                <w:sz w:val="16"/>
                <w:szCs w:val="16"/>
              </w:rPr>
            </w:pPr>
            <w:r w:rsidRPr="00630496">
              <w:rPr>
                <w:rFonts w:ascii="Arial" w:eastAsia="宋体" w:hAnsi="Arial" w:cs="Arial"/>
                <w:color w:val="000000"/>
                <w:kern w:val="0"/>
                <w:sz w:val="16"/>
                <w:szCs w:val="16"/>
              </w:rPr>
              <w:t>2005–06 (c)</w:t>
            </w:r>
          </w:p>
        </w:tc>
        <w:tc>
          <w:tcPr>
            <w:tcW w:w="0" w:type="auto"/>
            <w:gridSpan w:val="2"/>
            <w:tcBorders>
              <w:bottom w:val="none" w:sz="0" w:space="0" w:color="auto"/>
            </w:tcBorders>
            <w:shd w:val="clear" w:color="auto" w:fill="auto"/>
            <w:noWrap/>
            <w:hideMark/>
          </w:tcPr>
          <w:p w:rsidR="00F84AE5" w:rsidRPr="00630496" w:rsidRDefault="00F84AE5" w:rsidP="00FE1FBD">
            <w:pPr>
              <w:widowControl/>
              <w:jc w:val="center"/>
              <w:cnfStyle w:val="100000000000"/>
              <w:rPr>
                <w:rFonts w:ascii="Arial" w:eastAsia="宋体" w:hAnsi="Arial" w:cs="Arial"/>
                <w:color w:val="000000"/>
                <w:kern w:val="0"/>
                <w:sz w:val="16"/>
                <w:szCs w:val="16"/>
              </w:rPr>
            </w:pPr>
            <w:r w:rsidRPr="00630496">
              <w:rPr>
                <w:rFonts w:ascii="Arial" w:eastAsia="宋体" w:hAnsi="Arial" w:cs="Arial"/>
                <w:color w:val="000000"/>
                <w:kern w:val="0"/>
                <w:sz w:val="16"/>
                <w:szCs w:val="16"/>
              </w:rPr>
              <w:t>2009–10</w:t>
            </w:r>
          </w:p>
        </w:tc>
        <w:tc>
          <w:tcPr>
            <w:tcW w:w="0" w:type="auto"/>
            <w:gridSpan w:val="2"/>
            <w:tcBorders>
              <w:bottom w:val="none" w:sz="0" w:space="0" w:color="auto"/>
            </w:tcBorders>
            <w:shd w:val="clear" w:color="auto" w:fill="auto"/>
            <w:noWrap/>
            <w:hideMark/>
          </w:tcPr>
          <w:p w:rsidR="00F84AE5" w:rsidRPr="00630496" w:rsidRDefault="00F84AE5" w:rsidP="00FE1FBD">
            <w:pPr>
              <w:widowControl/>
              <w:jc w:val="center"/>
              <w:cnfStyle w:val="100000000000"/>
              <w:rPr>
                <w:rFonts w:ascii="Arial" w:eastAsia="宋体" w:hAnsi="Arial" w:cs="Arial"/>
                <w:color w:val="000000"/>
                <w:kern w:val="0"/>
                <w:sz w:val="16"/>
                <w:szCs w:val="16"/>
              </w:rPr>
            </w:pPr>
            <w:r w:rsidRPr="00630496">
              <w:rPr>
                <w:rFonts w:ascii="Arial" w:eastAsia="宋体" w:hAnsi="Arial" w:cs="Arial"/>
                <w:color w:val="000000"/>
                <w:kern w:val="0"/>
                <w:sz w:val="16"/>
                <w:szCs w:val="16"/>
              </w:rPr>
              <w:t>2011–12</w:t>
            </w:r>
          </w:p>
        </w:tc>
        <w:tc>
          <w:tcPr>
            <w:tcW w:w="0" w:type="auto"/>
            <w:gridSpan w:val="2"/>
            <w:tcBorders>
              <w:bottom w:val="none" w:sz="0" w:space="0" w:color="auto"/>
            </w:tcBorders>
            <w:shd w:val="clear" w:color="auto" w:fill="auto"/>
            <w:noWrap/>
            <w:hideMark/>
          </w:tcPr>
          <w:p w:rsidR="00F84AE5" w:rsidRPr="00630496" w:rsidRDefault="00F84AE5" w:rsidP="00FE1FBD">
            <w:pPr>
              <w:widowControl/>
              <w:jc w:val="center"/>
              <w:cnfStyle w:val="100000000000"/>
              <w:rPr>
                <w:rFonts w:ascii="Arial" w:eastAsia="宋体" w:hAnsi="Arial" w:cs="Arial"/>
                <w:color w:val="000000"/>
                <w:kern w:val="0"/>
                <w:sz w:val="16"/>
                <w:szCs w:val="16"/>
              </w:rPr>
            </w:pPr>
            <w:r w:rsidRPr="00630496">
              <w:rPr>
                <w:rFonts w:ascii="Arial" w:eastAsia="宋体" w:hAnsi="Arial" w:cs="Arial"/>
                <w:color w:val="000000"/>
                <w:kern w:val="0"/>
                <w:sz w:val="16"/>
                <w:szCs w:val="16"/>
              </w:rPr>
              <w:t>2013–14</w:t>
            </w:r>
          </w:p>
        </w:tc>
        <w:tc>
          <w:tcPr>
            <w:tcW w:w="0" w:type="auto"/>
            <w:gridSpan w:val="2"/>
            <w:tcBorders>
              <w:bottom w:val="none" w:sz="0" w:space="0" w:color="auto"/>
            </w:tcBorders>
            <w:shd w:val="clear" w:color="auto" w:fill="auto"/>
            <w:noWrap/>
            <w:hideMark/>
          </w:tcPr>
          <w:p w:rsidR="00F84AE5" w:rsidRPr="00630496" w:rsidRDefault="00F84AE5" w:rsidP="00FE1FBD">
            <w:pPr>
              <w:widowControl/>
              <w:jc w:val="center"/>
              <w:cnfStyle w:val="100000000000"/>
              <w:rPr>
                <w:rFonts w:ascii="Arial" w:eastAsia="宋体" w:hAnsi="Arial" w:cs="Arial"/>
                <w:color w:val="000000"/>
                <w:kern w:val="0"/>
                <w:sz w:val="16"/>
                <w:szCs w:val="16"/>
              </w:rPr>
            </w:pPr>
            <w:r w:rsidRPr="00630496">
              <w:rPr>
                <w:rFonts w:ascii="Arial" w:eastAsia="宋体" w:hAnsi="Arial" w:cs="Arial"/>
                <w:color w:val="000000"/>
                <w:kern w:val="0"/>
                <w:sz w:val="16"/>
                <w:szCs w:val="16"/>
              </w:rPr>
              <w:t>2015–16</w:t>
            </w:r>
          </w:p>
        </w:tc>
      </w:tr>
      <w:tr w:rsidR="00F84AE5" w:rsidRPr="00E8167C" w:rsidTr="009C6715">
        <w:trPr>
          <w:cnfStyle w:val="000000100000"/>
          <w:trHeight w:val="270"/>
          <w:jc w:val="center"/>
        </w:trPr>
        <w:tc>
          <w:tcPr>
            <w:cnfStyle w:val="001000000000"/>
            <w:tcW w:w="0" w:type="auto"/>
            <w:tcBorders>
              <w:right w:val="none" w:sz="0" w:space="0" w:color="auto"/>
            </w:tcBorders>
            <w:shd w:val="clear" w:color="auto" w:fill="auto"/>
            <w:noWrap/>
            <w:hideMark/>
          </w:tcPr>
          <w:p w:rsidR="00F84AE5" w:rsidRPr="00630496" w:rsidRDefault="00F84AE5" w:rsidP="00FE1FBD">
            <w:pPr>
              <w:widowControl/>
              <w:jc w:val="center"/>
              <w:rPr>
                <w:rFonts w:ascii="Arial" w:eastAsia="宋体" w:hAnsi="Arial" w:cs="Arial"/>
                <w:color w:val="000000"/>
                <w:kern w:val="0"/>
                <w:sz w:val="16"/>
                <w:szCs w:val="16"/>
              </w:rPr>
            </w:pPr>
            <w:r>
              <w:rPr>
                <w:rFonts w:ascii="Arial" w:eastAsia="宋体" w:hAnsi="Arial" w:cs="Arial" w:hint="eastAsia"/>
                <w:color w:val="000000"/>
                <w:kern w:val="0"/>
                <w:sz w:val="16"/>
                <w:szCs w:val="16"/>
              </w:rPr>
              <w:t>15</w:t>
            </w:r>
            <w:r>
              <w:rPr>
                <w:rFonts w:ascii="Arial" w:eastAsia="宋体" w:hAnsi="Arial" w:cs="Arial"/>
                <w:color w:val="000000"/>
                <w:kern w:val="0"/>
                <w:sz w:val="16"/>
                <w:szCs w:val="16"/>
              </w:rPr>
              <w:t>-64</w:t>
            </w:r>
            <w:r>
              <w:rPr>
                <w:rFonts w:ascii="Arial" w:eastAsia="宋体" w:hAnsi="Arial" w:cs="Arial" w:hint="eastAsia"/>
                <w:color w:val="000000"/>
                <w:kern w:val="0"/>
                <w:sz w:val="16"/>
                <w:szCs w:val="16"/>
              </w:rPr>
              <w:t>岁</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hint="eastAsia"/>
                <w:bCs/>
                <w:color w:val="000000"/>
                <w:kern w:val="0"/>
                <w:sz w:val="16"/>
                <w:szCs w:val="16"/>
              </w:rPr>
              <w:t>男性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女性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男性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女性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男性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女性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男性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女性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男性</w:t>
            </w:r>
          </w:p>
        </w:tc>
        <w:tc>
          <w:tcPr>
            <w:tcW w:w="0" w:type="auto"/>
            <w:shd w:val="clear" w:color="auto" w:fill="auto"/>
            <w:noWrap/>
            <w:hideMark/>
          </w:tcPr>
          <w:p w:rsidR="00F84AE5" w:rsidRPr="00E8167C" w:rsidRDefault="00F84AE5" w:rsidP="00FE1FBD">
            <w:pPr>
              <w:widowControl/>
              <w:jc w:val="right"/>
              <w:cnfStyle w:val="0000001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女性</w:t>
            </w:r>
          </w:p>
        </w:tc>
      </w:tr>
      <w:tr w:rsidR="00F84AE5" w:rsidRPr="00E8167C" w:rsidTr="009C6715">
        <w:trPr>
          <w:trHeight w:val="270"/>
          <w:jc w:val="center"/>
        </w:trPr>
        <w:tc>
          <w:tcPr>
            <w:cnfStyle w:val="001000000000"/>
            <w:tcW w:w="0" w:type="auto"/>
            <w:tcBorders>
              <w:right w:val="none" w:sz="0" w:space="0" w:color="auto"/>
            </w:tcBorders>
            <w:shd w:val="clear" w:color="auto" w:fill="auto"/>
            <w:noWrap/>
            <w:hideMark/>
          </w:tcPr>
          <w:p w:rsidR="00F84AE5" w:rsidRPr="00630496" w:rsidRDefault="009C6715" w:rsidP="009C6715">
            <w:pPr>
              <w:widowControl/>
              <w:jc w:val="center"/>
              <w:rPr>
                <w:rFonts w:ascii="宋体" w:eastAsia="宋体" w:hAnsi="宋体" w:cs="宋体"/>
                <w:color w:val="000000"/>
                <w:kern w:val="0"/>
                <w:sz w:val="22"/>
              </w:rPr>
            </w:pPr>
            <w:r w:rsidRPr="009C6715">
              <w:rPr>
                <w:rFonts w:ascii="Arial" w:eastAsia="宋体" w:hAnsi="Arial" w:cs="Arial" w:hint="eastAsia"/>
                <w:color w:val="000000"/>
                <w:kern w:val="0"/>
                <w:sz w:val="16"/>
                <w:szCs w:val="16"/>
              </w:rPr>
              <w:t>覆盖率</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79.3</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71.1</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75.0</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69.6</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80.4</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74.4</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80.1</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74.9</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79.9</w:t>
            </w:r>
          </w:p>
        </w:tc>
        <w:tc>
          <w:tcPr>
            <w:tcW w:w="0" w:type="auto"/>
            <w:shd w:val="clear" w:color="auto" w:fill="auto"/>
            <w:noWrap/>
            <w:hideMark/>
          </w:tcPr>
          <w:p w:rsidR="00F84AE5" w:rsidRPr="00E8167C" w:rsidRDefault="00F84AE5" w:rsidP="00FE1FBD">
            <w:pPr>
              <w:widowControl/>
              <w:jc w:val="right"/>
              <w:cnfStyle w:val="000000000000"/>
              <w:rPr>
                <w:rFonts w:ascii="Arial" w:eastAsia="宋体" w:hAnsi="Arial" w:cs="Arial"/>
                <w:bCs/>
                <w:color w:val="000000"/>
                <w:kern w:val="0"/>
                <w:sz w:val="16"/>
                <w:szCs w:val="16"/>
              </w:rPr>
            </w:pPr>
            <w:r w:rsidRPr="00E8167C">
              <w:rPr>
                <w:rFonts w:ascii="Arial" w:eastAsia="宋体" w:hAnsi="Arial" w:cs="Arial"/>
                <w:bCs/>
                <w:color w:val="000000"/>
                <w:kern w:val="0"/>
                <w:sz w:val="16"/>
                <w:szCs w:val="16"/>
              </w:rPr>
              <w:t>75.7</w:t>
            </w:r>
          </w:p>
        </w:tc>
      </w:tr>
    </w:tbl>
    <w:p w:rsidR="00F84AE5" w:rsidRDefault="009C6715" w:rsidP="00F84AE5">
      <w:pPr>
        <w:ind w:firstLine="420"/>
        <w:rPr>
          <w:bCs/>
        </w:rPr>
      </w:pPr>
      <w:r>
        <w:rPr>
          <w:rFonts w:hint="eastAsia"/>
          <w:sz w:val="20"/>
        </w:rPr>
        <w:t>资料</w:t>
      </w:r>
      <w:r w:rsidR="00F84AE5" w:rsidRPr="00630496">
        <w:rPr>
          <w:rFonts w:hint="eastAsia"/>
          <w:sz w:val="20"/>
        </w:rPr>
        <w:t>来源</w:t>
      </w:r>
      <w:r w:rsidR="00F84AE5" w:rsidRPr="00630496">
        <w:rPr>
          <w:sz w:val="20"/>
        </w:rPr>
        <w:t>：</w:t>
      </w:r>
      <w:r w:rsidR="00F84AE5">
        <w:rPr>
          <w:rFonts w:hint="eastAsia"/>
        </w:rPr>
        <w:t>ABS,</w:t>
      </w:r>
      <w:r w:rsidR="00F84AE5" w:rsidRPr="003D203F">
        <w:rPr>
          <w:bCs/>
        </w:rPr>
        <w:t>4125.0 - Gender Indicators, Australia, Sep 2017</w:t>
      </w:r>
      <w:r w:rsidR="002D7C5A">
        <w:rPr>
          <w:rFonts w:hint="eastAsia"/>
          <w:bCs/>
        </w:rPr>
        <w:t>。</w:t>
      </w:r>
    </w:p>
    <w:p w:rsidR="00F84AE5" w:rsidRPr="00630496" w:rsidRDefault="00F84AE5" w:rsidP="00F84AE5">
      <w:pPr>
        <w:ind w:firstLine="420"/>
        <w:rPr>
          <w:sz w:val="20"/>
        </w:rPr>
      </w:pPr>
    </w:p>
    <w:p w:rsidR="00F84AE5" w:rsidRDefault="00F84AE5" w:rsidP="009C6715">
      <w:r>
        <w:t>经过</w:t>
      </w:r>
      <w:r>
        <w:rPr>
          <w:rFonts w:hint="eastAsia"/>
        </w:rPr>
        <w:t>20</w:t>
      </w:r>
      <w:r>
        <w:rPr>
          <w:rFonts w:hint="eastAsia"/>
        </w:rPr>
        <w:t>多年</w:t>
      </w:r>
      <w:r>
        <w:t>的发展</w:t>
      </w:r>
      <w:r>
        <w:rPr>
          <w:rFonts w:hint="eastAsia"/>
        </w:rPr>
        <w:t>，</w:t>
      </w:r>
      <w:r w:rsidR="009C6715">
        <w:t>截至</w:t>
      </w:r>
      <w:r w:rsidR="009C6715">
        <w:rPr>
          <w:rFonts w:hint="eastAsia"/>
        </w:rPr>
        <w:t>2017</w:t>
      </w:r>
      <w:r w:rsidR="009C6715">
        <w:rPr>
          <w:rFonts w:hint="eastAsia"/>
        </w:rPr>
        <w:t>年</w:t>
      </w:r>
      <w:r w:rsidR="009C6715">
        <w:rPr>
          <w:rFonts w:hint="eastAsia"/>
        </w:rPr>
        <w:t>6</w:t>
      </w:r>
      <w:r w:rsidR="009C6715">
        <w:rPr>
          <w:rFonts w:hint="eastAsia"/>
        </w:rPr>
        <w:t>月，</w:t>
      </w:r>
      <w:r>
        <w:t>澳大利亚超级年金</w:t>
      </w:r>
      <w:r w:rsidR="009C6715">
        <w:rPr>
          <w:rFonts w:hint="eastAsia"/>
        </w:rPr>
        <w:t>规模达到</w:t>
      </w:r>
      <w:r w:rsidR="009C6715">
        <w:t>2657</w:t>
      </w:r>
      <w:r w:rsidR="009C6715" w:rsidRPr="00FF7B0E">
        <w:t>6</w:t>
      </w:r>
      <w:r w:rsidR="009C6715">
        <w:rPr>
          <w:rFonts w:hint="eastAsia"/>
        </w:rPr>
        <w:t>亿澳元。从图</w:t>
      </w:r>
      <w:r w:rsidR="009C6715">
        <w:rPr>
          <w:rFonts w:hint="eastAsia"/>
        </w:rPr>
        <w:t>1</w:t>
      </w:r>
      <w:r w:rsidR="009C6715">
        <w:rPr>
          <w:rFonts w:hint="eastAsia"/>
        </w:rPr>
        <w:t>可以看出，</w:t>
      </w:r>
      <w:r w:rsidR="009C6715">
        <w:rPr>
          <w:rFonts w:hint="eastAsia"/>
        </w:rPr>
        <w:t>2016</w:t>
      </w:r>
      <w:r w:rsidR="009C6715">
        <w:rPr>
          <w:rFonts w:hint="eastAsia"/>
        </w:rPr>
        <w:t>年，澳大利亚超级年金规模占</w:t>
      </w:r>
      <w:r w:rsidR="009C6715">
        <w:rPr>
          <w:rFonts w:hint="eastAsia"/>
        </w:rPr>
        <w:t>GDP</w:t>
      </w:r>
      <w:r w:rsidR="009C6715">
        <w:rPr>
          <w:rFonts w:hint="eastAsia"/>
        </w:rPr>
        <w:t>的比重就</w:t>
      </w:r>
      <w:r w:rsidR="009C6715">
        <w:t>已超</w:t>
      </w:r>
      <w:r w:rsidR="009C6715">
        <w:rPr>
          <w:rFonts w:hint="eastAsia"/>
        </w:rPr>
        <w:t>过</w:t>
      </w:r>
      <w:r>
        <w:rPr>
          <w:rFonts w:hint="eastAsia"/>
        </w:rPr>
        <w:t>130</w:t>
      </w:r>
      <w:r>
        <w:t>%</w:t>
      </w:r>
      <w:r>
        <w:t>。按照</w:t>
      </w:r>
      <w:r>
        <w:rPr>
          <w:rFonts w:hint="eastAsia"/>
        </w:rPr>
        <w:t>OECD</w:t>
      </w:r>
      <w:r>
        <w:t>的统计，澳大利亚目前</w:t>
      </w:r>
      <w:r>
        <w:rPr>
          <w:rFonts w:hint="eastAsia"/>
        </w:rPr>
        <w:t>的养老金的</w:t>
      </w:r>
      <w:r>
        <w:t>资产规模</w:t>
      </w:r>
      <w:r>
        <w:rPr>
          <w:rFonts w:hint="eastAsia"/>
        </w:rPr>
        <w:t>位居</w:t>
      </w:r>
      <w:r>
        <w:t>世界第三</w:t>
      </w:r>
      <w:r w:rsidR="0017621E">
        <w:rPr>
          <w:rFonts w:hint="eastAsia"/>
        </w:rPr>
        <w:t>位</w:t>
      </w:r>
      <w:r>
        <w:t>。</w:t>
      </w:r>
    </w:p>
    <w:p w:rsidR="002D7C5A" w:rsidRPr="007501FF" w:rsidRDefault="002D7C5A" w:rsidP="002D7C5A">
      <w:pPr>
        <w:pStyle w:val="2"/>
        <w:rPr>
          <w:sz w:val="28"/>
          <w:szCs w:val="28"/>
        </w:rPr>
      </w:pPr>
      <w:r>
        <w:rPr>
          <w:rStyle w:val="2Char"/>
          <w:rFonts w:hint="eastAsia"/>
          <w:sz w:val="28"/>
          <w:szCs w:val="28"/>
        </w:rPr>
        <w:lastRenderedPageBreak/>
        <w:t>（三）</w:t>
      </w:r>
      <w:r w:rsidRPr="007501FF">
        <w:rPr>
          <w:rFonts w:hint="eastAsia"/>
          <w:sz w:val="28"/>
          <w:szCs w:val="28"/>
        </w:rPr>
        <w:t>澳大利亚</w:t>
      </w:r>
      <w:r>
        <w:rPr>
          <w:rFonts w:hint="eastAsia"/>
          <w:sz w:val="28"/>
          <w:szCs w:val="28"/>
        </w:rPr>
        <w:t>自愿型超级</w:t>
      </w:r>
      <w:r>
        <w:rPr>
          <w:sz w:val="28"/>
          <w:szCs w:val="28"/>
        </w:rPr>
        <w:t>年金</w:t>
      </w:r>
    </w:p>
    <w:p w:rsidR="002D7C5A" w:rsidRDefault="002D7C5A" w:rsidP="002D7C5A">
      <w:r>
        <w:rPr>
          <w:rFonts w:hint="eastAsia"/>
        </w:rPr>
        <w:t>澳大利亚养老金</w:t>
      </w:r>
      <w:r>
        <w:t>第三支柱</w:t>
      </w:r>
      <w:r>
        <w:rPr>
          <w:rFonts w:hint="eastAsia"/>
        </w:rPr>
        <w:t>个人</w:t>
      </w:r>
      <w:r>
        <w:t>养老储蓄</w:t>
      </w:r>
      <w:r>
        <w:rPr>
          <w:rFonts w:hint="eastAsia"/>
        </w:rPr>
        <w:t>主要是自愿</w:t>
      </w:r>
      <w:r>
        <w:t>的超级年金储蓄（</w:t>
      </w:r>
      <w:r>
        <w:rPr>
          <w:rFonts w:hint="eastAsia"/>
        </w:rPr>
        <w:t>Voluntary</w:t>
      </w:r>
      <w:r>
        <w:t xml:space="preserve"> </w:t>
      </w:r>
      <w:r>
        <w:rPr>
          <w:rFonts w:hint="eastAsia"/>
        </w:rPr>
        <w:t>S</w:t>
      </w:r>
      <w:r>
        <w:t xml:space="preserve">uperannuation </w:t>
      </w:r>
      <w:r>
        <w:rPr>
          <w:rFonts w:hint="eastAsia"/>
        </w:rPr>
        <w:t>S</w:t>
      </w:r>
      <w:r>
        <w:t>aving</w:t>
      </w:r>
      <w:r>
        <w:t>）</w:t>
      </w:r>
      <w:r>
        <w:rPr>
          <w:rFonts w:hint="eastAsia"/>
        </w:rPr>
        <w:t>，实行</w:t>
      </w:r>
      <w:r>
        <w:t>基金累积制</w:t>
      </w:r>
      <w:r>
        <w:rPr>
          <w:rFonts w:hint="eastAsia"/>
        </w:rPr>
        <w:t>，是缴费</w:t>
      </w:r>
      <w:r>
        <w:t>确定型</w:t>
      </w:r>
      <w:r>
        <w:rPr>
          <w:rFonts w:hint="eastAsia"/>
        </w:rPr>
        <w:t>（</w:t>
      </w:r>
      <w:r>
        <w:rPr>
          <w:rFonts w:hint="eastAsia"/>
        </w:rPr>
        <w:t>DC</w:t>
      </w:r>
      <w:r>
        <w:rPr>
          <w:rFonts w:hint="eastAsia"/>
        </w:rPr>
        <w:t>）养老计划</w:t>
      </w:r>
      <w:r>
        <w:t>。</w:t>
      </w:r>
      <w:r>
        <w:rPr>
          <w:rFonts w:hint="eastAsia"/>
        </w:rPr>
        <w:t>自愿型超级</w:t>
      </w:r>
      <w:r>
        <w:t>年金在超级年金的系统内</w:t>
      </w:r>
      <w:r>
        <w:rPr>
          <w:rFonts w:hint="eastAsia"/>
        </w:rPr>
        <w:t>运作</w:t>
      </w:r>
      <w:r>
        <w:t>，</w:t>
      </w:r>
      <w:r>
        <w:rPr>
          <w:rFonts w:hint="eastAsia"/>
        </w:rPr>
        <w:t>缴费主要</w:t>
      </w:r>
      <w:r>
        <w:t>包括</w:t>
      </w:r>
      <w:r>
        <w:rPr>
          <w:rFonts w:hint="eastAsia"/>
        </w:rPr>
        <w:t>个税福利抵扣（</w:t>
      </w:r>
      <w:r>
        <w:rPr>
          <w:rFonts w:hint="eastAsia"/>
        </w:rPr>
        <w:t>Salary</w:t>
      </w:r>
      <w:r>
        <w:t xml:space="preserve"> </w:t>
      </w:r>
      <w:r>
        <w:rPr>
          <w:rFonts w:hint="eastAsia"/>
        </w:rPr>
        <w:t>S</w:t>
      </w:r>
      <w:r>
        <w:t>acrifice</w:t>
      </w:r>
      <w:r>
        <w:rPr>
          <w:rFonts w:hint="eastAsia"/>
        </w:rPr>
        <w:t>）和超级年金个人</w:t>
      </w:r>
      <w:r>
        <w:t>缴费（</w:t>
      </w:r>
      <w:r>
        <w:rPr>
          <w:rFonts w:hint="eastAsia"/>
        </w:rPr>
        <w:t>Personal</w:t>
      </w:r>
      <w:r>
        <w:t xml:space="preserve"> </w:t>
      </w:r>
      <w:r>
        <w:rPr>
          <w:rFonts w:hint="eastAsia"/>
        </w:rPr>
        <w:t>C</w:t>
      </w:r>
      <w:r>
        <w:t>ontribution</w:t>
      </w:r>
      <w:r>
        <w:t>）</w:t>
      </w:r>
      <w:r>
        <w:rPr>
          <w:rFonts w:hint="eastAsia"/>
        </w:rPr>
        <w:t>两种形式，两者</w:t>
      </w:r>
      <w:r>
        <w:t>的主要</w:t>
      </w:r>
      <w:r>
        <w:rPr>
          <w:rFonts w:hint="eastAsia"/>
        </w:rPr>
        <w:t>区别</w:t>
      </w:r>
      <w:r>
        <w:t>在于税收安排，个税福利抵扣部分</w:t>
      </w:r>
      <w:r>
        <w:rPr>
          <w:rFonts w:hint="eastAsia"/>
        </w:rPr>
        <w:t>允许</w:t>
      </w:r>
      <w:r>
        <w:t>在税前扣除，而个人缴费属于税后行为。</w:t>
      </w:r>
    </w:p>
    <w:p w:rsidR="002D7C5A" w:rsidRDefault="002D7C5A" w:rsidP="002D7C5A">
      <w:pPr>
        <w:pStyle w:val="af"/>
        <w:keepNext/>
      </w:pPr>
    </w:p>
    <w:p w:rsidR="002D7C5A" w:rsidRDefault="002D7C5A" w:rsidP="002D7C5A">
      <w:pPr>
        <w:pStyle w:val="af"/>
        <w:keepNext/>
        <w:jc w:val="center"/>
      </w:pPr>
    </w:p>
    <w:p w:rsidR="00F84AE5" w:rsidRDefault="00F84AE5" w:rsidP="002D7C5A">
      <w:pPr>
        <w:pStyle w:val="af"/>
        <w:keepNext/>
        <w:jc w:val="center"/>
      </w:pPr>
      <w:r>
        <w:rPr>
          <w:rFonts w:hint="eastAsia"/>
        </w:rPr>
        <w:t>图</w:t>
      </w:r>
      <w:r>
        <w:rPr>
          <w:rFonts w:hint="eastAsia"/>
        </w:rPr>
        <w:t xml:space="preserve"> </w:t>
      </w:r>
      <w:r w:rsidR="009D2541">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9D2541">
        <w:fldChar w:fldCharType="separate"/>
      </w:r>
      <w:r w:rsidR="002F629E">
        <w:rPr>
          <w:noProof/>
        </w:rPr>
        <w:t>1</w:t>
      </w:r>
      <w:r w:rsidR="009D2541">
        <w:fldChar w:fldCharType="end"/>
      </w:r>
      <w:r>
        <w:rPr>
          <w:rFonts w:hint="eastAsia"/>
        </w:rPr>
        <w:t>澳大利亚</w:t>
      </w:r>
      <w:r>
        <w:t>超级年金规模与占</w:t>
      </w:r>
      <w:r>
        <w:t>GDP</w:t>
      </w:r>
      <w:r>
        <w:t>比重</w:t>
      </w:r>
    </w:p>
    <w:p w:rsidR="00F84AE5" w:rsidRDefault="00F84AE5" w:rsidP="00F84AE5">
      <w:pPr>
        <w:keepNext/>
      </w:pPr>
      <w:r>
        <w:rPr>
          <w:rFonts w:hint="eastAsia"/>
          <w:noProof/>
        </w:rPr>
        <w:drawing>
          <wp:inline distT="0" distB="0" distL="0" distR="0">
            <wp:extent cx="5274310" cy="3076575"/>
            <wp:effectExtent l="0" t="0" r="254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4AE5" w:rsidRDefault="002D7C5A" w:rsidP="00F84AE5">
      <w:pPr>
        <w:rPr>
          <w:sz w:val="18"/>
          <w:szCs w:val="18"/>
        </w:rPr>
      </w:pPr>
      <w:r>
        <w:rPr>
          <w:rFonts w:hint="eastAsia"/>
        </w:rPr>
        <w:t>资料</w:t>
      </w:r>
      <w:r w:rsidR="00F84AE5">
        <w:rPr>
          <w:rFonts w:hint="eastAsia"/>
        </w:rPr>
        <w:t>来源</w:t>
      </w:r>
      <w:r w:rsidR="00F84AE5">
        <w:t>：</w:t>
      </w:r>
      <w:r w:rsidR="00F84AE5" w:rsidRPr="009C0DF1">
        <w:rPr>
          <w:sz w:val="18"/>
          <w:szCs w:val="18"/>
        </w:rPr>
        <w:t>Annual Superannuation Bulletin June 201</w:t>
      </w:r>
      <w:r w:rsidR="00F84AE5">
        <w:rPr>
          <w:sz w:val="18"/>
          <w:szCs w:val="18"/>
        </w:rPr>
        <w:t>7</w:t>
      </w:r>
      <w:r>
        <w:rPr>
          <w:rFonts w:hint="eastAsia"/>
          <w:sz w:val="18"/>
          <w:szCs w:val="18"/>
        </w:rPr>
        <w:t>。</w:t>
      </w:r>
    </w:p>
    <w:p w:rsidR="00000ECC" w:rsidRPr="000D536C" w:rsidRDefault="00000ECC" w:rsidP="00000ECC">
      <w:pPr>
        <w:ind w:firstLine="420"/>
      </w:pPr>
    </w:p>
    <w:p w:rsidR="00FC16E9" w:rsidRDefault="00FC16E9" w:rsidP="0017621E"/>
    <w:p w:rsidR="005A28AD" w:rsidRDefault="005A28AD" w:rsidP="00FC16E9">
      <w:r>
        <w:rPr>
          <w:rFonts w:hint="eastAsia"/>
        </w:rPr>
        <w:t>个税福利抵扣是指</w:t>
      </w:r>
      <w:r>
        <w:t>雇员</w:t>
      </w:r>
      <w:r>
        <w:rPr>
          <w:rFonts w:hint="eastAsia"/>
        </w:rPr>
        <w:t>与</w:t>
      </w:r>
      <w:r>
        <w:t>雇主之</w:t>
      </w:r>
      <w:r>
        <w:rPr>
          <w:rFonts w:hint="eastAsia"/>
        </w:rPr>
        <w:t>间</w:t>
      </w:r>
      <w:r>
        <w:t>的一种协议，雇员</w:t>
      </w:r>
      <w:r>
        <w:rPr>
          <w:rFonts w:hint="eastAsia"/>
        </w:rPr>
        <w:t>放弃</w:t>
      </w:r>
      <w:r>
        <w:t>一定的工资收入</w:t>
      </w:r>
      <w:r>
        <w:rPr>
          <w:rFonts w:hint="eastAsia"/>
        </w:rPr>
        <w:t>，雇主</w:t>
      </w:r>
      <w:r>
        <w:t>为其提供相应价值的</w:t>
      </w:r>
      <w:r>
        <w:rPr>
          <w:rFonts w:hint="eastAsia"/>
        </w:rPr>
        <w:t>某种</w:t>
      </w:r>
      <w:r>
        <w:t>福利。</w:t>
      </w:r>
      <w:r>
        <w:rPr>
          <w:rFonts w:hint="eastAsia"/>
        </w:rPr>
        <w:t>政府</w:t>
      </w:r>
      <w:r>
        <w:t>对</w:t>
      </w:r>
      <w:r>
        <w:rPr>
          <w:rFonts w:hint="eastAsia"/>
        </w:rPr>
        <w:t>这</w:t>
      </w:r>
      <w:r>
        <w:t>部分</w:t>
      </w:r>
      <w:r>
        <w:rPr>
          <w:rFonts w:hint="eastAsia"/>
        </w:rPr>
        <w:t>征收较低</w:t>
      </w:r>
      <w:r>
        <w:t>的</w:t>
      </w:r>
      <w:r>
        <w:rPr>
          <w:rFonts w:hint="eastAsia"/>
        </w:rPr>
        <w:t>福利</w:t>
      </w:r>
      <w:r>
        <w:t>税</w:t>
      </w:r>
      <w:r>
        <w:rPr>
          <w:rFonts w:hint="eastAsia"/>
        </w:rPr>
        <w:t>或</w:t>
      </w:r>
      <w:r>
        <w:t>者免税</w:t>
      </w:r>
      <w:r>
        <w:rPr>
          <w:rFonts w:hint="eastAsia"/>
        </w:rPr>
        <w:t>，从而使雇员</w:t>
      </w:r>
      <w:r>
        <w:t>获得税收优惠。</w:t>
      </w:r>
      <w:r>
        <w:rPr>
          <w:rFonts w:hint="eastAsia"/>
        </w:rPr>
        <w:t>个税福利抵扣可以</w:t>
      </w:r>
      <w:r>
        <w:t>用于多种途径，</w:t>
      </w:r>
      <w:r>
        <w:rPr>
          <w:rFonts w:hint="eastAsia"/>
        </w:rPr>
        <w:t>例如</w:t>
      </w:r>
      <w:r>
        <w:t>购车、育儿支出</w:t>
      </w:r>
      <w:r>
        <w:rPr>
          <w:rFonts w:hint="eastAsia"/>
        </w:rPr>
        <w:t>等</w:t>
      </w:r>
      <w:r w:rsidR="00FC16E9">
        <w:t>，但目前最</w:t>
      </w:r>
      <w:r>
        <w:t>主要</w:t>
      </w:r>
      <w:r>
        <w:rPr>
          <w:rFonts w:hint="eastAsia"/>
        </w:rPr>
        <w:t>就是缴纳</w:t>
      </w:r>
      <w:r>
        <w:t>超级年金</w:t>
      </w:r>
      <w:r>
        <w:rPr>
          <w:rFonts w:hint="eastAsia"/>
        </w:rPr>
        <w:t>。雇主</w:t>
      </w:r>
      <w:r>
        <w:t>代雇员缴纳的</w:t>
      </w:r>
      <w:r>
        <w:rPr>
          <w:rFonts w:hint="eastAsia"/>
        </w:rPr>
        <w:t>个税福利抵扣在</w:t>
      </w:r>
      <w:r>
        <w:t>一定的额度内按照最高</w:t>
      </w:r>
      <w:r>
        <w:rPr>
          <w:rFonts w:hint="eastAsia"/>
        </w:rPr>
        <w:t>15</w:t>
      </w:r>
      <w:r>
        <w:t>%</w:t>
      </w:r>
      <w:r>
        <w:t>的税率缴税</w:t>
      </w:r>
      <w:r>
        <w:rPr>
          <w:rFonts w:hint="eastAsia"/>
        </w:rPr>
        <w:t>，一般来说</w:t>
      </w:r>
      <w:r w:rsidRPr="00A3596D">
        <w:rPr>
          <w:rFonts w:hint="eastAsia"/>
        </w:rPr>
        <w:t>远低于雇员的边际税率。</w:t>
      </w:r>
      <w:r>
        <w:rPr>
          <w:rFonts w:hint="eastAsia"/>
        </w:rPr>
        <w:t>截至</w:t>
      </w:r>
      <w:r>
        <w:rPr>
          <w:rFonts w:hint="eastAsia"/>
        </w:rPr>
        <w:t>2017</w:t>
      </w:r>
      <w:r>
        <w:rPr>
          <w:rFonts w:hint="eastAsia"/>
        </w:rPr>
        <w:t>年底</w:t>
      </w:r>
      <w:r>
        <w:t>，</w:t>
      </w:r>
      <w:r>
        <w:rPr>
          <w:rFonts w:hint="eastAsia"/>
        </w:rPr>
        <w:t>政府</w:t>
      </w:r>
      <w:r>
        <w:t>对每年</w:t>
      </w:r>
      <w:r>
        <w:rPr>
          <w:rFonts w:hint="eastAsia"/>
        </w:rPr>
        <w:t>25</w:t>
      </w:r>
      <w:r>
        <w:rPr>
          <w:rFonts w:hint="eastAsia"/>
        </w:rPr>
        <w:t>万</w:t>
      </w:r>
      <w:r>
        <w:t>澳元以内的</w:t>
      </w:r>
      <w:r>
        <w:rPr>
          <w:rFonts w:hint="eastAsia"/>
        </w:rPr>
        <w:t>个税福利抵扣</w:t>
      </w:r>
      <w:r>
        <w:t>部分</w:t>
      </w:r>
      <w:r>
        <w:rPr>
          <w:rFonts w:hint="eastAsia"/>
        </w:rPr>
        <w:t>税率</w:t>
      </w:r>
      <w:r>
        <w:t>为</w:t>
      </w:r>
      <w:r>
        <w:rPr>
          <w:rFonts w:hint="eastAsia"/>
        </w:rPr>
        <w:t>15</w:t>
      </w:r>
      <w:r>
        <w:t>%</w:t>
      </w:r>
      <w:r>
        <w:t>，超过</w:t>
      </w:r>
      <w:r>
        <w:rPr>
          <w:rFonts w:hint="eastAsia"/>
        </w:rPr>
        <w:t>25</w:t>
      </w:r>
      <w:r>
        <w:rPr>
          <w:rFonts w:hint="eastAsia"/>
        </w:rPr>
        <w:t>万</w:t>
      </w:r>
      <w:r>
        <w:t>澳元的部分税率为</w:t>
      </w:r>
      <w:r>
        <w:rPr>
          <w:rFonts w:hint="eastAsia"/>
        </w:rPr>
        <w:t>30</w:t>
      </w:r>
      <w:r>
        <w:t>%</w:t>
      </w:r>
      <w:r>
        <w:t>。</w:t>
      </w:r>
    </w:p>
    <w:p w:rsidR="00FC16E9" w:rsidRDefault="00FC16E9" w:rsidP="00FC16E9"/>
    <w:p w:rsidR="005A28AD" w:rsidRDefault="005A28AD" w:rsidP="00FC16E9">
      <w:r>
        <w:rPr>
          <w:rFonts w:hint="eastAsia"/>
        </w:rPr>
        <w:t>澳大利亚自愿型超级</w:t>
      </w:r>
      <w:r>
        <w:t>年金</w:t>
      </w:r>
      <w:r>
        <w:rPr>
          <w:rFonts w:hint="eastAsia"/>
        </w:rPr>
        <w:t>的</w:t>
      </w:r>
      <w:r>
        <w:t>另外一种形式是个人缴费</w:t>
      </w:r>
      <w:r>
        <w:rPr>
          <w:rFonts w:hint="eastAsia"/>
        </w:rPr>
        <w:t>。个人</w:t>
      </w:r>
      <w:r>
        <w:t>缴费可以采取定期从工资扣除的方式，也可以不定期的直接</w:t>
      </w:r>
      <w:r>
        <w:rPr>
          <w:rFonts w:hint="eastAsia"/>
        </w:rPr>
        <w:t>投资到</w:t>
      </w:r>
      <w:r>
        <w:t>超级年金账户</w:t>
      </w:r>
      <w:r>
        <w:rPr>
          <w:rFonts w:hint="eastAsia"/>
        </w:rPr>
        <w:t>。</w:t>
      </w:r>
      <w:r>
        <w:t>税收</w:t>
      </w:r>
      <w:r>
        <w:rPr>
          <w:rFonts w:hint="eastAsia"/>
        </w:rPr>
        <w:t>安排</w:t>
      </w:r>
      <w:r>
        <w:t>根据雇员的身份不同而有</w:t>
      </w:r>
      <w:r>
        <w:rPr>
          <w:rFonts w:hint="eastAsia"/>
        </w:rPr>
        <w:t>所差异，对于</w:t>
      </w:r>
      <w:r>
        <w:t>普通雇员，个人缴费由于是税后缴费，</w:t>
      </w:r>
      <w:r>
        <w:rPr>
          <w:rFonts w:hint="eastAsia"/>
        </w:rPr>
        <w:t>缴费</w:t>
      </w:r>
      <w:r>
        <w:t>部分不能享受</w:t>
      </w:r>
      <w:r>
        <w:rPr>
          <w:rFonts w:hint="eastAsia"/>
        </w:rPr>
        <w:t>15</w:t>
      </w:r>
      <w:r>
        <w:t>%</w:t>
      </w:r>
      <w:r>
        <w:t>的优惠税率</w:t>
      </w:r>
      <w:r>
        <w:rPr>
          <w:rFonts w:hint="eastAsia"/>
        </w:rPr>
        <w:t>，</w:t>
      </w:r>
      <w:r>
        <w:t>但是可以享受投资收益部分</w:t>
      </w:r>
      <w:r>
        <w:rPr>
          <w:rFonts w:hint="eastAsia"/>
        </w:rPr>
        <w:t>15</w:t>
      </w:r>
      <w:r>
        <w:t>%</w:t>
      </w:r>
      <w:r>
        <w:t>的优惠税率</w:t>
      </w:r>
      <w:r>
        <w:rPr>
          <w:rFonts w:hint="eastAsia"/>
        </w:rPr>
        <w:t>；对</w:t>
      </w:r>
      <w:r>
        <w:t>自由职业者，个人缴费部分可以在税前列支</w:t>
      </w:r>
      <w:r>
        <w:rPr>
          <w:rFonts w:hint="eastAsia"/>
        </w:rPr>
        <w:t>，</w:t>
      </w:r>
      <w:r>
        <w:t>缴费和投资收益同时享受</w:t>
      </w:r>
      <w:r>
        <w:rPr>
          <w:rFonts w:hint="eastAsia"/>
        </w:rPr>
        <w:t>15</w:t>
      </w:r>
      <w:r>
        <w:t>%</w:t>
      </w:r>
      <w:r>
        <w:t>的优惠税率。</w:t>
      </w:r>
      <w:r>
        <w:rPr>
          <w:rFonts w:hint="eastAsia"/>
        </w:rPr>
        <w:t>另外，</w:t>
      </w:r>
      <w:r>
        <w:t>澳大利亚政府</w:t>
      </w:r>
      <w:r>
        <w:rPr>
          <w:rFonts w:hint="eastAsia"/>
        </w:rPr>
        <w:t>为</w:t>
      </w:r>
      <w:r>
        <w:t>鼓励低收入者</w:t>
      </w:r>
      <w:r>
        <w:rPr>
          <w:rFonts w:hint="eastAsia"/>
        </w:rPr>
        <w:t>进行</w:t>
      </w:r>
      <w:r>
        <w:t>养老储蓄，提供</w:t>
      </w:r>
      <w:r>
        <w:rPr>
          <w:rFonts w:hint="eastAsia"/>
        </w:rPr>
        <w:t>最高</w:t>
      </w:r>
      <w:r>
        <w:rPr>
          <w:rFonts w:hint="eastAsia"/>
        </w:rPr>
        <w:t>50</w:t>
      </w:r>
      <w:r>
        <w:t>%</w:t>
      </w:r>
      <w:r>
        <w:t>的</w:t>
      </w:r>
      <w:r>
        <w:rPr>
          <w:rFonts w:hint="eastAsia"/>
        </w:rPr>
        <w:t>共同</w:t>
      </w:r>
      <w:r>
        <w:t>缴费补贴（</w:t>
      </w:r>
      <w:r w:rsidR="00FC16E9">
        <w:rPr>
          <w:rFonts w:hint="eastAsia"/>
        </w:rPr>
        <w:t>C</w:t>
      </w:r>
      <w:r>
        <w:rPr>
          <w:rFonts w:hint="eastAsia"/>
        </w:rPr>
        <w:t>o</w:t>
      </w:r>
      <w:r>
        <w:t>-contribution</w:t>
      </w:r>
      <w:r>
        <w:t>）</w:t>
      </w:r>
      <w:r>
        <w:rPr>
          <w:rFonts w:hint="eastAsia"/>
        </w:rPr>
        <w:t>，</w:t>
      </w:r>
      <w:r>
        <w:t>每人每年最高不超过</w:t>
      </w:r>
      <w:r>
        <w:rPr>
          <w:rFonts w:hint="eastAsia"/>
        </w:rPr>
        <w:t>500</w:t>
      </w:r>
      <w:r>
        <w:rPr>
          <w:rFonts w:hint="eastAsia"/>
        </w:rPr>
        <w:t>澳元</w:t>
      </w:r>
      <w:r>
        <w:t>。</w:t>
      </w:r>
    </w:p>
    <w:p w:rsidR="00FC16E9" w:rsidRPr="005A28AD" w:rsidRDefault="00FC16E9" w:rsidP="00FC16E9"/>
    <w:p w:rsidR="00F84AE5" w:rsidRDefault="00F84AE5" w:rsidP="00F84AE5">
      <w:r>
        <w:rPr>
          <w:rFonts w:hint="eastAsia"/>
        </w:rPr>
        <w:lastRenderedPageBreak/>
        <w:t>自愿</w:t>
      </w:r>
      <w:r>
        <w:t>缴纳超级年金虽然在澳大利亚可以追溯到</w:t>
      </w:r>
      <w:r w:rsidR="00FC16E9">
        <w:rPr>
          <w:rFonts w:hint="eastAsia"/>
        </w:rPr>
        <w:t>20</w:t>
      </w:r>
      <w:r>
        <w:t>世纪中期，但</w:t>
      </w:r>
      <w:r>
        <w:rPr>
          <w:rFonts w:hint="eastAsia"/>
        </w:rPr>
        <w:t>澳大利亚</w:t>
      </w:r>
      <w:r>
        <w:t>早期的</w:t>
      </w:r>
      <w:r>
        <w:rPr>
          <w:rFonts w:hint="eastAsia"/>
        </w:rPr>
        <w:t>超级</w:t>
      </w:r>
      <w:r>
        <w:t>年金都是由雇主自愿建立的，因此并不能划归到现代意义上的第三支柱</w:t>
      </w:r>
      <w:r>
        <w:rPr>
          <w:rFonts w:hint="eastAsia"/>
        </w:rPr>
        <w:t>。</w:t>
      </w:r>
      <w:r>
        <w:t>直到</w:t>
      </w:r>
      <w:r>
        <w:rPr>
          <w:rFonts w:hint="eastAsia"/>
        </w:rPr>
        <w:t>1992</w:t>
      </w:r>
      <w:r>
        <w:rPr>
          <w:rFonts w:hint="eastAsia"/>
        </w:rPr>
        <w:t>年</w:t>
      </w:r>
      <w:r>
        <w:t>超级年金法案将超级年金确定为强制缴纳，保障</w:t>
      </w:r>
      <w:r>
        <w:rPr>
          <w:rFonts w:hint="eastAsia"/>
        </w:rPr>
        <w:t>型</w:t>
      </w:r>
      <w:r>
        <w:t>超级年金</w:t>
      </w:r>
      <w:r>
        <w:rPr>
          <w:rFonts w:hint="eastAsia"/>
        </w:rPr>
        <w:t>（</w:t>
      </w:r>
      <w:r>
        <w:rPr>
          <w:rFonts w:hint="eastAsia"/>
        </w:rPr>
        <w:t>superannuation</w:t>
      </w:r>
      <w:r>
        <w:t xml:space="preserve"> Guarantee</w:t>
      </w:r>
      <w:r>
        <w:rPr>
          <w:rFonts w:hint="eastAsia"/>
        </w:rPr>
        <w:t>）</w:t>
      </w:r>
      <w:r>
        <w:t>和自愿型</w:t>
      </w:r>
      <w:r>
        <w:rPr>
          <w:rFonts w:hint="eastAsia"/>
        </w:rPr>
        <w:t>超级</w:t>
      </w:r>
      <w:r>
        <w:t>年金（</w:t>
      </w:r>
      <w:r>
        <w:rPr>
          <w:rFonts w:hint="eastAsia"/>
        </w:rPr>
        <w:t>voluntary</w:t>
      </w:r>
      <w:r>
        <w:t xml:space="preserve"> superannuation</w:t>
      </w:r>
      <w:r>
        <w:t>）</w:t>
      </w:r>
      <w:r>
        <w:rPr>
          <w:rFonts w:hint="eastAsia"/>
        </w:rPr>
        <w:t>才</w:t>
      </w:r>
      <w:r>
        <w:t>分别构成了澳大利亚</w:t>
      </w:r>
      <w:r>
        <w:rPr>
          <w:rFonts w:hint="eastAsia"/>
        </w:rPr>
        <w:t>养老金</w:t>
      </w:r>
      <w:r>
        <w:t>体系的第二支柱和第三支柱。</w:t>
      </w:r>
    </w:p>
    <w:p w:rsidR="00FC16E9" w:rsidRDefault="00FC16E9" w:rsidP="00F84AE5"/>
    <w:p w:rsidR="00000ECC" w:rsidRPr="006E0377" w:rsidRDefault="001F39ED" w:rsidP="00B346B1">
      <w:r>
        <w:rPr>
          <w:rFonts w:hint="eastAsia"/>
        </w:rPr>
        <w:t>自愿型</w:t>
      </w:r>
      <w:r>
        <w:t>超级年金</w:t>
      </w:r>
      <w:r w:rsidR="00F84AE5">
        <w:rPr>
          <w:rFonts w:hint="eastAsia"/>
        </w:rPr>
        <w:t>的</w:t>
      </w:r>
      <w:r w:rsidR="00F84AE5">
        <w:t>覆盖率</w:t>
      </w:r>
      <w:r w:rsidR="00F84AE5">
        <w:rPr>
          <w:rFonts w:hint="eastAsia"/>
        </w:rPr>
        <w:t>在</w:t>
      </w:r>
      <w:r w:rsidR="00F84AE5" w:rsidRPr="002D3C4D">
        <w:rPr>
          <w:rFonts w:hint="eastAsia"/>
        </w:rPr>
        <w:t>1993</w:t>
      </w:r>
      <w:r w:rsidR="00F84AE5" w:rsidRPr="002D3C4D">
        <w:rPr>
          <w:rFonts w:hint="eastAsia"/>
        </w:rPr>
        <w:t>年</w:t>
      </w:r>
      <w:r w:rsidR="00F84AE5">
        <w:rPr>
          <w:rFonts w:hint="eastAsia"/>
        </w:rPr>
        <w:t>超级</w:t>
      </w:r>
      <w:r w:rsidR="00F84AE5">
        <w:t>年金法案</w:t>
      </w:r>
      <w:r w:rsidR="00F84AE5">
        <w:rPr>
          <w:rFonts w:hint="eastAsia"/>
        </w:rPr>
        <w:t>实行</w:t>
      </w:r>
      <w:r w:rsidR="00F84AE5">
        <w:t>时</w:t>
      </w:r>
      <w:r w:rsidR="00F84AE5" w:rsidRPr="002D3C4D">
        <w:t>超过</w:t>
      </w:r>
      <w:r w:rsidR="00F84AE5" w:rsidRPr="002D3C4D">
        <w:rPr>
          <w:rFonts w:hint="eastAsia"/>
        </w:rPr>
        <w:t>50</w:t>
      </w:r>
      <w:r w:rsidR="00F84AE5" w:rsidRPr="002D3C4D">
        <w:t>%</w:t>
      </w:r>
      <w:r w:rsidR="00F84AE5">
        <w:rPr>
          <w:rFonts w:hint="eastAsia"/>
        </w:rPr>
        <w:t>，之后</w:t>
      </w:r>
      <w:r w:rsidR="00F84AE5" w:rsidRPr="002D3C4D">
        <w:t>以</w:t>
      </w:r>
      <w:r w:rsidR="00F84AE5">
        <w:rPr>
          <w:rFonts w:hint="eastAsia"/>
        </w:rPr>
        <w:t>每年</w:t>
      </w:r>
      <w:r w:rsidR="00F84AE5" w:rsidRPr="002D3C4D">
        <w:t>大约</w:t>
      </w:r>
      <w:r w:rsidR="00F84AE5" w:rsidRPr="002D3C4D">
        <w:rPr>
          <w:rFonts w:hint="eastAsia"/>
        </w:rPr>
        <w:t>2.5</w:t>
      </w:r>
      <w:r w:rsidR="00F84AE5" w:rsidRPr="002D3C4D">
        <w:t>%</w:t>
      </w:r>
      <w:r w:rsidR="00F84AE5" w:rsidRPr="002D3C4D">
        <w:t>的速度下降，</w:t>
      </w:r>
      <w:r w:rsidR="00F84AE5" w:rsidRPr="002D3C4D">
        <w:rPr>
          <w:rFonts w:hint="eastAsia"/>
        </w:rPr>
        <w:t>到</w:t>
      </w:r>
      <w:r w:rsidR="00F84AE5" w:rsidRPr="002D3C4D">
        <w:rPr>
          <w:rFonts w:hint="eastAsia"/>
        </w:rPr>
        <w:t>2007</w:t>
      </w:r>
      <w:r w:rsidR="00F84AE5" w:rsidRPr="002D3C4D">
        <w:rPr>
          <w:rFonts w:hint="eastAsia"/>
        </w:rPr>
        <w:t>年</w:t>
      </w:r>
      <w:r w:rsidR="00F84AE5" w:rsidRPr="002D3C4D">
        <w:t>已经降到了</w:t>
      </w:r>
      <w:r w:rsidR="00F84AE5" w:rsidRPr="002D3C4D">
        <w:rPr>
          <w:rFonts w:hint="eastAsia"/>
        </w:rPr>
        <w:t>25</w:t>
      </w:r>
      <w:r w:rsidR="00F84AE5" w:rsidRPr="002D3C4D">
        <w:t>%</w:t>
      </w:r>
      <w:r w:rsidR="00F84AE5" w:rsidRPr="002D3C4D">
        <w:t>以下</w:t>
      </w:r>
      <w:r w:rsidR="00F84AE5" w:rsidRPr="002D3C4D">
        <w:rPr>
          <w:rFonts w:hint="eastAsia"/>
        </w:rPr>
        <w:t>。</w:t>
      </w:r>
      <w:r w:rsidR="00F84AE5">
        <w:rPr>
          <w:rFonts w:hint="eastAsia"/>
        </w:rPr>
        <w:t>2017</w:t>
      </w:r>
      <w:r w:rsidR="00F84AE5">
        <w:rPr>
          <w:rFonts w:hint="eastAsia"/>
        </w:rPr>
        <w:t>年</w:t>
      </w:r>
      <w:r w:rsidR="00F84AE5">
        <w:t>非小型超级年金</w:t>
      </w:r>
      <w:r w:rsidR="00F84AE5">
        <w:rPr>
          <w:rFonts w:hint="eastAsia"/>
        </w:rPr>
        <w:t>基金</w:t>
      </w:r>
      <w:r w:rsidR="00F84AE5">
        <w:t>的缴费中</w:t>
      </w:r>
      <w:r w:rsidR="00F84AE5">
        <w:rPr>
          <w:rFonts w:hint="eastAsia"/>
        </w:rPr>
        <w:t>，</w:t>
      </w:r>
      <w:r w:rsidR="00156761">
        <w:t>个税福利抵扣</w:t>
      </w:r>
      <w:r w:rsidR="00F84AE5">
        <w:t>缴费为</w:t>
      </w:r>
      <w:r w:rsidR="00F84AE5">
        <w:rPr>
          <w:rFonts w:hint="eastAsia"/>
        </w:rPr>
        <w:t>86.4</w:t>
      </w:r>
      <w:r w:rsidR="00F84AE5">
        <w:rPr>
          <w:rFonts w:hint="eastAsia"/>
        </w:rPr>
        <w:t>亿</w:t>
      </w:r>
      <w:r w:rsidR="00F84AE5">
        <w:t>澳元</w:t>
      </w:r>
      <w:r w:rsidR="00F84AE5">
        <w:rPr>
          <w:rFonts w:hint="eastAsia"/>
        </w:rPr>
        <w:t>，</w:t>
      </w:r>
      <w:r w:rsidR="00F84AE5">
        <w:t>占总缴费的</w:t>
      </w:r>
      <w:r w:rsidR="00F84AE5">
        <w:rPr>
          <w:rFonts w:hint="eastAsia"/>
        </w:rPr>
        <w:t>7.37</w:t>
      </w:r>
      <w:r w:rsidR="00F84AE5">
        <w:t>%</w:t>
      </w:r>
      <w:r w:rsidR="00F84AE5">
        <w:rPr>
          <w:rFonts w:hint="eastAsia"/>
        </w:rPr>
        <w:t>；</w:t>
      </w:r>
      <w:r w:rsidR="00F84AE5">
        <w:t>个人缴费</w:t>
      </w:r>
      <w:r w:rsidR="00F84AE5">
        <w:rPr>
          <w:rFonts w:hint="eastAsia"/>
        </w:rPr>
        <w:t>295.8</w:t>
      </w:r>
      <w:r w:rsidR="00F84AE5">
        <w:rPr>
          <w:rFonts w:hint="eastAsia"/>
        </w:rPr>
        <w:t>亿</w:t>
      </w:r>
      <w:r w:rsidR="00F84AE5">
        <w:t>澳元，占全部缴费金额的</w:t>
      </w:r>
      <w:r w:rsidR="00F84AE5">
        <w:rPr>
          <w:rFonts w:hint="eastAsia"/>
        </w:rPr>
        <w:t>25.22</w:t>
      </w:r>
      <w:r w:rsidR="00F84AE5">
        <w:t>%</w:t>
      </w:r>
      <w:r w:rsidR="00F84AE5">
        <w:t>。</w:t>
      </w:r>
    </w:p>
    <w:p w:rsidR="00000ECC" w:rsidRPr="007501FF" w:rsidRDefault="00BB32A0" w:rsidP="007501FF">
      <w:pPr>
        <w:pStyle w:val="2"/>
        <w:rPr>
          <w:sz w:val="28"/>
          <w:szCs w:val="28"/>
        </w:rPr>
      </w:pPr>
      <w:r w:rsidRPr="00BB32A0">
        <w:rPr>
          <w:rFonts w:hint="eastAsia"/>
          <w:b w:val="0"/>
          <w:bCs w:val="0"/>
        </w:rPr>
        <w:t>（</w:t>
      </w:r>
      <w:r w:rsidRPr="00BB32A0">
        <w:rPr>
          <w:rFonts w:hint="eastAsia"/>
          <w:bCs w:val="0"/>
          <w:sz w:val="28"/>
        </w:rPr>
        <w:t>四</w:t>
      </w:r>
      <w:r w:rsidRPr="00BB32A0">
        <w:rPr>
          <w:rFonts w:hint="eastAsia"/>
          <w:b w:val="0"/>
          <w:bCs w:val="0"/>
        </w:rPr>
        <w:t>）</w:t>
      </w:r>
      <w:r w:rsidR="00000ECC" w:rsidRPr="007501FF">
        <w:rPr>
          <w:rFonts w:hint="eastAsia"/>
          <w:sz w:val="28"/>
          <w:szCs w:val="28"/>
        </w:rPr>
        <w:t>澳大利亚</w:t>
      </w:r>
      <w:r w:rsidR="00000ECC" w:rsidRPr="007501FF">
        <w:rPr>
          <w:sz w:val="28"/>
          <w:szCs w:val="28"/>
        </w:rPr>
        <w:t>未来基金</w:t>
      </w:r>
    </w:p>
    <w:p w:rsidR="006E0377" w:rsidRDefault="000D536C" w:rsidP="00B346B1">
      <w:r>
        <w:rPr>
          <w:rFonts w:hint="eastAsia"/>
        </w:rPr>
        <w:t>澳大利亚的</w:t>
      </w:r>
      <w:r>
        <w:t>储备养老金是澳大利亚未来基金</w:t>
      </w:r>
      <w:r>
        <w:rPr>
          <w:rFonts w:hint="eastAsia"/>
        </w:rPr>
        <w:t>（</w:t>
      </w:r>
      <w:r>
        <w:rPr>
          <w:rFonts w:hint="eastAsia"/>
        </w:rPr>
        <w:t>future</w:t>
      </w:r>
      <w:r>
        <w:t xml:space="preserve"> fund</w:t>
      </w:r>
      <w:r>
        <w:rPr>
          <w:rFonts w:hint="eastAsia"/>
        </w:rPr>
        <w:t>），是</w:t>
      </w:r>
      <w:r>
        <w:t>独立管理的主权财富基金</w:t>
      </w:r>
      <w:r>
        <w:rPr>
          <w:rFonts w:hint="eastAsia"/>
        </w:rPr>
        <w:t>。旨在加强政府</w:t>
      </w:r>
      <w:r>
        <w:t>公共财政</w:t>
      </w:r>
      <w:r>
        <w:rPr>
          <w:rFonts w:hint="eastAsia"/>
        </w:rPr>
        <w:t>能力，</w:t>
      </w:r>
      <w:r>
        <w:t>弥补</w:t>
      </w:r>
      <w:r>
        <w:rPr>
          <w:rFonts w:hint="eastAsia"/>
        </w:rPr>
        <w:t>公共</w:t>
      </w:r>
      <w:r>
        <w:t>养老计划在</w:t>
      </w:r>
      <w:r>
        <w:rPr>
          <w:rFonts w:hint="eastAsia"/>
        </w:rPr>
        <w:t>未来</w:t>
      </w:r>
      <w:r>
        <w:t>可能出现的资金缺口</w:t>
      </w:r>
      <w:r>
        <w:rPr>
          <w:rFonts w:hint="eastAsia"/>
        </w:rPr>
        <w:t>。</w:t>
      </w:r>
      <w:r w:rsidR="006E0377">
        <w:t>未来基金只能在</w:t>
      </w:r>
      <w:r w:rsidR="006E0377">
        <w:rPr>
          <w:rFonts w:hint="eastAsia"/>
        </w:rPr>
        <w:t>超级</w:t>
      </w:r>
      <w:r w:rsidR="006E0377">
        <w:t>年金可以完全</w:t>
      </w:r>
      <w:r w:rsidR="006E0377">
        <w:rPr>
          <w:rFonts w:hint="eastAsia"/>
        </w:rPr>
        <w:t>弥补</w:t>
      </w:r>
      <w:r w:rsidR="006E0377">
        <w:t>负债或到</w:t>
      </w:r>
      <w:r w:rsidR="006E0377">
        <w:rPr>
          <w:rFonts w:hint="eastAsia"/>
        </w:rPr>
        <w:t>2020</w:t>
      </w:r>
      <w:r w:rsidR="006E0377">
        <w:rPr>
          <w:rFonts w:hint="eastAsia"/>
        </w:rPr>
        <w:t>年</w:t>
      </w:r>
      <w:r w:rsidR="006E0377">
        <w:rPr>
          <w:rFonts w:hint="eastAsia"/>
        </w:rPr>
        <w:t>7</w:t>
      </w:r>
      <w:r w:rsidR="006E0377">
        <w:rPr>
          <w:rFonts w:hint="eastAsia"/>
        </w:rPr>
        <w:t>月</w:t>
      </w:r>
      <w:r w:rsidR="006E0377">
        <w:rPr>
          <w:rFonts w:hint="eastAsia"/>
        </w:rPr>
        <w:t>1</w:t>
      </w:r>
      <w:r w:rsidR="006E0377">
        <w:rPr>
          <w:rFonts w:hint="eastAsia"/>
        </w:rPr>
        <w:t>日之后支取</w:t>
      </w:r>
      <w:r w:rsidR="006E0377">
        <w:t>，以较早者为准。</w:t>
      </w:r>
    </w:p>
    <w:p w:rsidR="00BB32A0" w:rsidRDefault="00BB32A0" w:rsidP="00B346B1"/>
    <w:p w:rsidR="00F84AE5" w:rsidRDefault="000D536C" w:rsidP="00BB32A0">
      <w:r>
        <w:rPr>
          <w:rFonts w:hint="eastAsia"/>
        </w:rPr>
        <w:t>未来基金由未来基金</w:t>
      </w:r>
      <w:r>
        <w:t>管理委员会</w:t>
      </w:r>
      <w:r>
        <w:rPr>
          <w:rFonts w:hint="eastAsia"/>
        </w:rPr>
        <w:t>（</w:t>
      </w:r>
      <w:r>
        <w:rPr>
          <w:rFonts w:hint="eastAsia"/>
        </w:rPr>
        <w:t>Future</w:t>
      </w:r>
      <w:r>
        <w:t xml:space="preserve"> Fund Board of Guardians</w:t>
      </w:r>
      <w:r>
        <w:rPr>
          <w:rFonts w:hint="eastAsia"/>
        </w:rPr>
        <w:t>）受托</w:t>
      </w:r>
      <w:r>
        <w:t>管理。</w:t>
      </w:r>
      <w:r>
        <w:rPr>
          <w:rFonts w:hint="eastAsia"/>
        </w:rPr>
        <w:t>未来</w:t>
      </w:r>
      <w:r>
        <w:t>基金的</w:t>
      </w:r>
      <w:r>
        <w:rPr>
          <w:rFonts w:hint="eastAsia"/>
        </w:rPr>
        <w:t>投资</w:t>
      </w:r>
      <w:r>
        <w:t>管理全部采用</w:t>
      </w:r>
      <w:r>
        <w:rPr>
          <w:rFonts w:hint="eastAsia"/>
        </w:rPr>
        <w:t>间接</w:t>
      </w:r>
      <w:r>
        <w:t>投资即委托投资</w:t>
      </w:r>
      <w:r>
        <w:rPr>
          <w:rFonts w:hint="eastAsia"/>
        </w:rPr>
        <w:t>的</w:t>
      </w:r>
      <w:r>
        <w:t>方式</w:t>
      </w:r>
      <w:r>
        <w:rPr>
          <w:rFonts w:hint="eastAsia"/>
        </w:rPr>
        <w:t>进行</w:t>
      </w:r>
      <w:r w:rsidR="0032034F">
        <w:rPr>
          <w:rFonts w:hint="eastAsia"/>
        </w:rPr>
        <w:t>。</w:t>
      </w:r>
      <w:r>
        <w:rPr>
          <w:rFonts w:hint="eastAsia"/>
        </w:rPr>
        <w:t>截至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t>，共有</w:t>
      </w:r>
      <w:r w:rsidR="00BB32A0">
        <w:rPr>
          <w:rFonts w:hint="eastAsia"/>
        </w:rPr>
        <w:t>11</w:t>
      </w:r>
      <w:r>
        <w:rPr>
          <w:rFonts w:hint="eastAsia"/>
        </w:rPr>
        <w:t>7</w:t>
      </w:r>
      <w:r>
        <w:rPr>
          <w:rFonts w:hint="eastAsia"/>
        </w:rPr>
        <w:t>家投资管理人</w:t>
      </w:r>
      <w:r>
        <w:t>管理未来基金</w:t>
      </w:r>
      <w:r>
        <w:rPr>
          <w:rFonts w:hint="eastAsia"/>
        </w:rPr>
        <w:t>资产。</w:t>
      </w:r>
    </w:p>
    <w:p w:rsidR="00BB32A0" w:rsidRPr="00BB32A0" w:rsidRDefault="00BB32A0" w:rsidP="00BB32A0"/>
    <w:p w:rsidR="00F84AE5" w:rsidRPr="00F84AE5" w:rsidRDefault="00F84AE5" w:rsidP="00B346B1">
      <w:r>
        <w:rPr>
          <w:rFonts w:hint="eastAsia"/>
        </w:rPr>
        <w:t>澳大利亚</w:t>
      </w:r>
      <w:r>
        <w:t>未来基金</w:t>
      </w:r>
      <w:r w:rsidR="006E0377">
        <w:rPr>
          <w:rFonts w:hint="eastAsia"/>
        </w:rPr>
        <w:t>资产</w:t>
      </w:r>
      <w:r>
        <w:t>最早</w:t>
      </w:r>
      <w:r w:rsidR="006E0377">
        <w:rPr>
          <w:rFonts w:hint="eastAsia"/>
        </w:rPr>
        <w:t>来源</w:t>
      </w:r>
      <w:r w:rsidR="006E0377">
        <w:t>于</w:t>
      </w:r>
      <w:r w:rsidR="006E0377">
        <w:rPr>
          <w:rFonts w:hint="eastAsia"/>
        </w:rPr>
        <w:t>2006</w:t>
      </w:r>
      <w:r w:rsidR="006E0377">
        <w:rPr>
          <w:rFonts w:hint="eastAsia"/>
        </w:rPr>
        <w:t>年</w:t>
      </w:r>
      <w:r>
        <w:t>澳大利亚政府</w:t>
      </w:r>
      <w:r w:rsidR="006E0377">
        <w:rPr>
          <w:rFonts w:hint="eastAsia"/>
        </w:rPr>
        <w:t>的</w:t>
      </w:r>
      <w:r>
        <w:rPr>
          <w:rFonts w:hint="eastAsia"/>
        </w:rPr>
        <w:t>财政</w:t>
      </w:r>
      <w:r>
        <w:t>盈余和出售</w:t>
      </w:r>
      <w:r>
        <w:t>Telstra</w:t>
      </w:r>
      <w:r w:rsidR="00BB32A0">
        <w:t>通讯公司</w:t>
      </w:r>
      <w:r w:rsidR="00BB32A0">
        <w:rPr>
          <w:rFonts w:hint="eastAsia"/>
        </w:rPr>
        <w:t>1/3</w:t>
      </w:r>
      <w:r>
        <w:t>股份所得</w:t>
      </w:r>
      <w:r>
        <w:rPr>
          <w:rFonts w:hint="eastAsia"/>
        </w:rPr>
        <w:t>的</w:t>
      </w:r>
      <w:r>
        <w:rPr>
          <w:rFonts w:hint="eastAsia"/>
        </w:rPr>
        <w:t>180</w:t>
      </w:r>
      <w:r>
        <w:rPr>
          <w:rFonts w:hint="eastAsia"/>
        </w:rPr>
        <w:t>亿</w:t>
      </w:r>
      <w:r>
        <w:t>澳元</w:t>
      </w:r>
      <w:r w:rsidR="006E0377">
        <w:rPr>
          <w:rFonts w:hint="eastAsia"/>
        </w:rPr>
        <w:t>。</w:t>
      </w:r>
      <w:r>
        <w:rPr>
          <w:rFonts w:hint="eastAsia"/>
        </w:rPr>
        <w:t>2</w:t>
      </w:r>
      <w:r>
        <w:t>007</w:t>
      </w:r>
      <w:r>
        <w:rPr>
          <w:rFonts w:hint="eastAsia"/>
        </w:rPr>
        <w:t>年</w:t>
      </w:r>
      <w:r w:rsidR="006E0377">
        <w:rPr>
          <w:rFonts w:hint="eastAsia"/>
        </w:rPr>
        <w:t>澳大利亚</w:t>
      </w:r>
      <w:r w:rsidR="006E0377">
        <w:t>政府</w:t>
      </w:r>
      <w:r>
        <w:t>又</w:t>
      </w:r>
      <w:r>
        <w:rPr>
          <w:rFonts w:hint="eastAsia"/>
        </w:rPr>
        <w:t>将</w:t>
      </w:r>
      <w:r>
        <w:t>价值</w:t>
      </w:r>
      <w:r>
        <w:rPr>
          <w:rFonts w:hint="eastAsia"/>
        </w:rPr>
        <w:t>89</w:t>
      </w:r>
      <w:r>
        <w:rPr>
          <w:rFonts w:hint="eastAsia"/>
        </w:rPr>
        <w:t>亿</w:t>
      </w:r>
      <w:r>
        <w:t>澳元</w:t>
      </w:r>
      <w:r>
        <w:rPr>
          <w:rFonts w:hint="eastAsia"/>
        </w:rPr>
        <w:t>的</w:t>
      </w:r>
      <w:r>
        <w:rPr>
          <w:rFonts w:hint="eastAsia"/>
        </w:rPr>
        <w:t>17</w:t>
      </w:r>
      <w:r>
        <w:t>%Telstra</w:t>
      </w:r>
      <w:r>
        <w:t>股份划拨到基金。到</w:t>
      </w:r>
      <w:r>
        <w:rPr>
          <w:rFonts w:hint="eastAsia"/>
        </w:rPr>
        <w:t>2006</w:t>
      </w:r>
      <w:r>
        <w:t>-2007</w:t>
      </w:r>
      <w:r>
        <w:rPr>
          <w:rFonts w:hint="eastAsia"/>
        </w:rPr>
        <w:t>财年</w:t>
      </w:r>
      <w:r>
        <w:t>结束时，</w:t>
      </w:r>
      <w:r w:rsidR="00102624">
        <w:rPr>
          <w:rFonts w:hint="eastAsia"/>
        </w:rPr>
        <w:t>共有</w:t>
      </w:r>
      <w:r>
        <w:rPr>
          <w:rFonts w:hint="eastAsia"/>
        </w:rPr>
        <w:t>500</w:t>
      </w:r>
      <w:r>
        <w:rPr>
          <w:rFonts w:hint="eastAsia"/>
        </w:rPr>
        <w:t>亿</w:t>
      </w:r>
      <w:r>
        <w:t>澳元</w:t>
      </w:r>
      <w:r>
        <w:rPr>
          <w:rFonts w:hint="eastAsia"/>
        </w:rPr>
        <w:t>的</w:t>
      </w:r>
      <w:r>
        <w:t>财政</w:t>
      </w:r>
      <w:r>
        <w:rPr>
          <w:rFonts w:hint="eastAsia"/>
        </w:rPr>
        <w:t>款</w:t>
      </w:r>
      <w:r w:rsidR="00102624">
        <w:rPr>
          <w:rFonts w:hint="eastAsia"/>
        </w:rPr>
        <w:t>拨</w:t>
      </w:r>
      <w:r w:rsidR="00102624">
        <w:t>给未来基金</w:t>
      </w:r>
      <w:r>
        <w:t>。</w:t>
      </w:r>
      <w:r>
        <w:rPr>
          <w:rFonts w:hint="eastAsia"/>
        </w:rPr>
        <w:t>截至</w:t>
      </w:r>
      <w:r>
        <w:rPr>
          <w:rFonts w:hint="eastAsia"/>
        </w:rPr>
        <w:t>2017</w:t>
      </w:r>
      <w:r>
        <w:rPr>
          <w:rFonts w:hint="eastAsia"/>
        </w:rPr>
        <w:t>年</w:t>
      </w:r>
      <w:r>
        <w:rPr>
          <w:rFonts w:hint="eastAsia"/>
        </w:rPr>
        <w:t>6</w:t>
      </w:r>
      <w:r>
        <w:rPr>
          <w:rFonts w:hint="eastAsia"/>
        </w:rPr>
        <w:t>月</w:t>
      </w:r>
      <w:r>
        <w:rPr>
          <w:rFonts w:hint="eastAsia"/>
        </w:rPr>
        <w:t>30</w:t>
      </w:r>
      <w:r>
        <w:rPr>
          <w:rFonts w:hint="eastAsia"/>
        </w:rPr>
        <w:t>日</w:t>
      </w:r>
      <w:r>
        <w:t>，</w:t>
      </w:r>
      <w:r>
        <w:rPr>
          <w:rFonts w:hint="eastAsia"/>
        </w:rPr>
        <w:t>未来基金累计</w:t>
      </w:r>
      <w:r>
        <w:t>规模</w:t>
      </w:r>
      <w:r w:rsidR="00C4165E">
        <w:rPr>
          <w:rFonts w:hint="eastAsia"/>
        </w:rPr>
        <w:t>达到</w:t>
      </w:r>
      <w:r>
        <w:rPr>
          <w:rFonts w:hint="eastAsia"/>
        </w:rPr>
        <w:t>1335</w:t>
      </w:r>
      <w:r>
        <w:rPr>
          <w:rFonts w:hint="eastAsia"/>
        </w:rPr>
        <w:t>亿</w:t>
      </w:r>
      <w:r>
        <w:t>澳元。</w:t>
      </w:r>
    </w:p>
    <w:p w:rsidR="00B346B1" w:rsidRPr="0032034F" w:rsidRDefault="00BB32A0" w:rsidP="002D7C5A">
      <w:pPr>
        <w:pStyle w:val="1"/>
        <w:jc w:val="center"/>
        <w:rPr>
          <w:rStyle w:val="1Char"/>
          <w:b/>
          <w:sz w:val="32"/>
          <w:szCs w:val="32"/>
        </w:rPr>
      </w:pPr>
      <w:r>
        <w:rPr>
          <w:rStyle w:val="1Char"/>
          <w:rFonts w:hint="eastAsia"/>
          <w:b/>
          <w:sz w:val="32"/>
          <w:szCs w:val="32"/>
        </w:rPr>
        <w:t>二</w:t>
      </w:r>
      <w:r w:rsidR="002D7C5A">
        <w:rPr>
          <w:rStyle w:val="1Char"/>
          <w:rFonts w:hint="eastAsia"/>
          <w:b/>
          <w:sz w:val="32"/>
          <w:szCs w:val="32"/>
        </w:rPr>
        <w:t xml:space="preserve"> </w:t>
      </w:r>
      <w:r w:rsidR="00B346B1" w:rsidRPr="0032034F">
        <w:rPr>
          <w:rStyle w:val="1Char"/>
          <w:b/>
          <w:sz w:val="32"/>
          <w:szCs w:val="32"/>
        </w:rPr>
        <w:t>澳大</w:t>
      </w:r>
      <w:r w:rsidR="00B346B1" w:rsidRPr="0032034F">
        <w:rPr>
          <w:rStyle w:val="1Char"/>
          <w:rFonts w:hint="eastAsia"/>
          <w:b/>
          <w:sz w:val="32"/>
          <w:szCs w:val="32"/>
        </w:rPr>
        <w:t>利亚</w:t>
      </w:r>
      <w:r w:rsidR="00B346B1" w:rsidRPr="0032034F">
        <w:rPr>
          <w:rStyle w:val="1Char"/>
          <w:b/>
          <w:sz w:val="32"/>
          <w:szCs w:val="32"/>
        </w:rPr>
        <w:t>超级年金</w:t>
      </w:r>
      <w:r w:rsidR="00D523E6" w:rsidRPr="0032034F">
        <w:rPr>
          <w:rStyle w:val="1Char"/>
          <w:rFonts w:hint="eastAsia"/>
          <w:b/>
          <w:sz w:val="32"/>
          <w:szCs w:val="32"/>
        </w:rPr>
        <w:t>资产</w:t>
      </w:r>
      <w:r w:rsidR="00B346B1" w:rsidRPr="0032034F">
        <w:rPr>
          <w:rStyle w:val="1Char"/>
          <w:b/>
          <w:sz w:val="32"/>
          <w:szCs w:val="32"/>
        </w:rPr>
        <w:t>管理</w:t>
      </w:r>
    </w:p>
    <w:p w:rsidR="00CB54AA" w:rsidRPr="006C4ED4" w:rsidRDefault="00BB32A0" w:rsidP="006C4ED4">
      <w:pPr>
        <w:pStyle w:val="2"/>
        <w:rPr>
          <w:sz w:val="28"/>
          <w:szCs w:val="28"/>
        </w:rPr>
      </w:pPr>
      <w:r>
        <w:rPr>
          <w:rStyle w:val="2Char"/>
          <w:rFonts w:hint="eastAsia"/>
          <w:b/>
          <w:sz w:val="28"/>
          <w:szCs w:val="28"/>
        </w:rPr>
        <w:t>（一）</w:t>
      </w:r>
      <w:r w:rsidR="00CB54AA" w:rsidRPr="006C4ED4">
        <w:rPr>
          <w:rStyle w:val="2Char"/>
          <w:rFonts w:hint="eastAsia"/>
          <w:sz w:val="28"/>
          <w:szCs w:val="28"/>
        </w:rPr>
        <w:t xml:space="preserve"> </w:t>
      </w:r>
      <w:r w:rsidR="00CB54AA" w:rsidRPr="006C4ED4">
        <w:rPr>
          <w:rFonts w:hint="eastAsia"/>
          <w:sz w:val="28"/>
          <w:szCs w:val="28"/>
        </w:rPr>
        <w:t>澳大利亚</w:t>
      </w:r>
      <w:r w:rsidR="00CB54AA" w:rsidRPr="006C4ED4">
        <w:rPr>
          <w:sz w:val="28"/>
          <w:szCs w:val="28"/>
        </w:rPr>
        <w:t>超级年金的</w:t>
      </w:r>
      <w:r w:rsidR="00D523E6">
        <w:rPr>
          <w:rFonts w:hint="eastAsia"/>
          <w:sz w:val="28"/>
          <w:szCs w:val="28"/>
        </w:rPr>
        <w:t>运作</w:t>
      </w:r>
      <w:r w:rsidR="00CB54AA" w:rsidRPr="006C4ED4">
        <w:rPr>
          <w:sz w:val="28"/>
          <w:szCs w:val="28"/>
        </w:rPr>
        <w:t>模式</w:t>
      </w:r>
    </w:p>
    <w:p w:rsidR="00B346B1" w:rsidRDefault="00B346B1" w:rsidP="00BB32A0">
      <w:r>
        <w:rPr>
          <w:rFonts w:hint="eastAsia"/>
        </w:rPr>
        <w:t>澳大利亚</w:t>
      </w:r>
      <w:r>
        <w:t>现行的超级年金</w:t>
      </w:r>
      <w:r w:rsidR="00E40AEF">
        <w:rPr>
          <w:rFonts w:hint="eastAsia"/>
        </w:rPr>
        <w:t>运作模式</w:t>
      </w:r>
      <w:r>
        <w:t>主要基于</w:t>
      </w:r>
      <w:r>
        <w:rPr>
          <w:rFonts w:hint="eastAsia"/>
        </w:rPr>
        <w:t>1992</w:t>
      </w:r>
      <w:r>
        <w:rPr>
          <w:rFonts w:hint="eastAsia"/>
        </w:rPr>
        <w:t>年</w:t>
      </w:r>
      <w:r>
        <w:t>发布的超级年金保障法和</w:t>
      </w:r>
      <w:r>
        <w:t>1993</w:t>
      </w:r>
      <w:r>
        <w:rPr>
          <w:rFonts w:hint="eastAsia"/>
        </w:rPr>
        <w:t>年</w:t>
      </w:r>
      <w:r>
        <w:t>发布的超级年金监管法</w:t>
      </w:r>
      <w:r w:rsidR="00E56634">
        <w:rPr>
          <w:rFonts w:hint="eastAsia"/>
        </w:rPr>
        <w:t>，</w:t>
      </w:r>
      <w:r>
        <w:t>采用</w:t>
      </w:r>
      <w:r>
        <w:rPr>
          <w:rFonts w:hint="eastAsia"/>
        </w:rPr>
        <w:t>信托</w:t>
      </w:r>
      <w:r>
        <w:t>模式</w:t>
      </w:r>
      <w:r w:rsidR="00544309">
        <w:rPr>
          <w:rFonts w:hint="eastAsia"/>
        </w:rPr>
        <w:t>进行</w:t>
      </w:r>
      <w:r w:rsidR="00544309">
        <w:t>市场化运作</w:t>
      </w:r>
      <w:r>
        <w:rPr>
          <w:rFonts w:hint="eastAsia"/>
        </w:rPr>
        <w:t>。</w:t>
      </w:r>
      <w:r>
        <w:t>受托人是超级年金的治理主体，对年金的整体运营</w:t>
      </w:r>
      <w:r>
        <w:rPr>
          <w:rFonts w:hint="eastAsia"/>
        </w:rPr>
        <w:t>负</w:t>
      </w:r>
      <w:r>
        <w:t>法律</w:t>
      </w:r>
      <w:r>
        <w:rPr>
          <w:rFonts w:hint="eastAsia"/>
        </w:rPr>
        <w:t>上</w:t>
      </w:r>
      <w:r>
        <w:t>的最终责任。受托人</w:t>
      </w:r>
      <w:r>
        <w:rPr>
          <w:rFonts w:hint="eastAsia"/>
        </w:rPr>
        <w:t>既可以采用</w:t>
      </w:r>
      <w:r>
        <w:t>内部受托模式</w:t>
      </w:r>
      <w:r>
        <w:rPr>
          <w:rFonts w:hint="eastAsia"/>
        </w:rPr>
        <w:t>（年金</w:t>
      </w:r>
      <w:r>
        <w:t>理事会模式</w:t>
      </w:r>
      <w:r>
        <w:rPr>
          <w:rFonts w:hint="eastAsia"/>
        </w:rPr>
        <w:t>）又可以</w:t>
      </w:r>
      <w:r>
        <w:t>采用外部受托模式（</w:t>
      </w:r>
      <w:r>
        <w:rPr>
          <w:rFonts w:hint="eastAsia"/>
        </w:rPr>
        <w:t>法人</w:t>
      </w:r>
      <w:r>
        <w:t>受托</w:t>
      </w:r>
      <w:r>
        <w:rPr>
          <w:rFonts w:hint="eastAsia"/>
        </w:rPr>
        <w:t>模式</w:t>
      </w:r>
      <w:r>
        <w:t>）</w:t>
      </w:r>
      <w:r>
        <w:rPr>
          <w:rFonts w:hint="eastAsia"/>
        </w:rPr>
        <w:t>。年金理事会</w:t>
      </w:r>
      <w:r w:rsidR="0032034F">
        <w:rPr>
          <w:rFonts w:hint="eastAsia"/>
        </w:rPr>
        <w:t>或</w:t>
      </w:r>
      <w:r>
        <w:t>法人受托机构根据委托人的委托管理</w:t>
      </w:r>
      <w:r>
        <w:rPr>
          <w:rFonts w:hint="eastAsia"/>
        </w:rPr>
        <w:t>基金</w:t>
      </w:r>
      <w:r>
        <w:t>，</w:t>
      </w:r>
      <w:r>
        <w:rPr>
          <w:rFonts w:hint="eastAsia"/>
        </w:rPr>
        <w:t>再</w:t>
      </w:r>
      <w:r>
        <w:t>根据其</w:t>
      </w:r>
      <w:r w:rsidR="00E56634">
        <w:rPr>
          <w:rFonts w:hint="eastAsia"/>
        </w:rPr>
        <w:t>投资</w:t>
      </w:r>
      <w:r>
        <w:t>运营需要</w:t>
      </w:r>
      <w:r>
        <w:rPr>
          <w:rFonts w:hint="eastAsia"/>
        </w:rPr>
        <w:t>选择</w:t>
      </w:r>
      <w:r>
        <w:t>相应的托管人、账户管理人、投资管理人和其他服务机构。</w:t>
      </w:r>
    </w:p>
    <w:p w:rsidR="00BB32A0" w:rsidRDefault="00BB32A0" w:rsidP="00BB32A0"/>
    <w:p w:rsidR="00BB32A0" w:rsidRDefault="00FF7B0E" w:rsidP="00BD1A9A">
      <w:r>
        <w:rPr>
          <w:rFonts w:hint="eastAsia"/>
        </w:rPr>
        <w:t>澳大利亚</w:t>
      </w:r>
      <w:r>
        <w:t>超级年金</w:t>
      </w:r>
      <w:r w:rsidR="00660444">
        <w:rPr>
          <w:rFonts w:hint="eastAsia"/>
        </w:rPr>
        <w:t>由</w:t>
      </w:r>
      <w:r w:rsidR="00660444">
        <w:t>雇主缴费</w:t>
      </w:r>
      <w:r w:rsidR="00660444">
        <w:rPr>
          <w:rFonts w:hint="eastAsia"/>
        </w:rPr>
        <w:t>，</w:t>
      </w:r>
      <w:r>
        <w:rPr>
          <w:rFonts w:hint="eastAsia"/>
        </w:rPr>
        <w:t>费率最初为</w:t>
      </w:r>
      <w:r>
        <w:rPr>
          <w:rFonts w:hint="eastAsia"/>
        </w:rPr>
        <w:t>3</w:t>
      </w:r>
      <w:r>
        <w:t>%</w:t>
      </w:r>
      <w:r>
        <w:t>，</w:t>
      </w:r>
      <w:r w:rsidR="00660444" w:rsidDel="00660444">
        <w:rPr>
          <w:rFonts w:hint="eastAsia"/>
        </w:rPr>
        <w:t xml:space="preserve"> </w:t>
      </w:r>
      <w:r>
        <w:rPr>
          <w:rFonts w:hint="eastAsia"/>
        </w:rPr>
        <w:t>2002</w:t>
      </w:r>
      <w:r>
        <w:t>-2003</w:t>
      </w:r>
      <w:r>
        <w:rPr>
          <w:rFonts w:hint="eastAsia"/>
        </w:rPr>
        <w:t>年</w:t>
      </w:r>
      <w:r>
        <w:t>被</w:t>
      </w:r>
      <w:r>
        <w:rPr>
          <w:rFonts w:hint="eastAsia"/>
        </w:rPr>
        <w:t>提高</w:t>
      </w:r>
      <w:r>
        <w:t>到</w:t>
      </w:r>
      <w:r>
        <w:rPr>
          <w:rFonts w:hint="eastAsia"/>
        </w:rPr>
        <w:t>9</w:t>
      </w:r>
      <w:r>
        <w:t>%</w:t>
      </w:r>
      <w:r>
        <w:rPr>
          <w:rFonts w:hint="eastAsia"/>
        </w:rPr>
        <w:t>，</w:t>
      </w:r>
      <w:r w:rsidR="00660444">
        <w:rPr>
          <w:rFonts w:hint="eastAsia"/>
        </w:rPr>
        <w:t>现行</w:t>
      </w:r>
      <w:r w:rsidR="00660444">
        <w:t>费率为</w:t>
      </w:r>
      <w:r w:rsidR="00660444">
        <w:rPr>
          <w:rFonts w:hint="eastAsia"/>
        </w:rPr>
        <w:t>9.5</w:t>
      </w:r>
      <w:r w:rsidR="00660444">
        <w:t>%</w:t>
      </w:r>
      <w:r w:rsidR="00660444">
        <w:rPr>
          <w:rFonts w:hint="eastAsia"/>
        </w:rPr>
        <w:t>。</w:t>
      </w:r>
      <w:r>
        <w:t>到</w:t>
      </w:r>
      <w:r>
        <w:rPr>
          <w:rFonts w:hint="eastAsia"/>
        </w:rPr>
        <w:t>2025</w:t>
      </w:r>
      <w:r>
        <w:rPr>
          <w:rFonts w:hint="eastAsia"/>
        </w:rPr>
        <w:t>年</w:t>
      </w:r>
      <w:r w:rsidR="00C4165E">
        <w:rPr>
          <w:rFonts w:hint="eastAsia"/>
        </w:rPr>
        <w:t>费率</w:t>
      </w:r>
      <w:r w:rsidR="00C4165E">
        <w:t>将</w:t>
      </w:r>
      <w:r>
        <w:t>提高到</w:t>
      </w:r>
      <w:r>
        <w:rPr>
          <w:rFonts w:hint="eastAsia"/>
        </w:rPr>
        <w:t>12</w:t>
      </w:r>
      <w:r>
        <w:t>%</w:t>
      </w:r>
      <w:r>
        <w:t>。</w:t>
      </w:r>
      <w:r w:rsidR="00BB32A0">
        <w:rPr>
          <w:rFonts w:hint="eastAsia"/>
        </w:rPr>
        <w:t>（见表</w:t>
      </w:r>
      <w:r w:rsidR="00BB32A0">
        <w:rPr>
          <w:rFonts w:hint="eastAsia"/>
        </w:rPr>
        <w:t>3</w:t>
      </w:r>
      <w:r w:rsidR="00BB32A0">
        <w:rPr>
          <w:rFonts w:hint="eastAsia"/>
        </w:rPr>
        <w:t>）</w:t>
      </w:r>
    </w:p>
    <w:p w:rsidR="00BD1A9A" w:rsidRDefault="00BD1A9A" w:rsidP="00BD1A9A"/>
    <w:p w:rsidR="00BD1A9A" w:rsidRDefault="00BD1A9A" w:rsidP="00BD1A9A"/>
    <w:p w:rsidR="00BD1A9A" w:rsidRDefault="00BD1A9A" w:rsidP="00BD1A9A"/>
    <w:p w:rsidR="00FF7B0E" w:rsidRPr="002D7C5A" w:rsidRDefault="00FF7B0E" w:rsidP="00FF7B0E">
      <w:pPr>
        <w:pStyle w:val="af"/>
        <w:keepNext/>
        <w:jc w:val="center"/>
        <w:rPr>
          <w:b/>
        </w:rPr>
      </w:pPr>
      <w:r w:rsidRPr="002D7C5A">
        <w:rPr>
          <w:rFonts w:hint="eastAsia"/>
          <w:b/>
        </w:rPr>
        <w:lastRenderedPageBreak/>
        <w:t>表</w:t>
      </w:r>
      <w:r w:rsidRPr="002D7C5A">
        <w:rPr>
          <w:rFonts w:hint="eastAsia"/>
          <w:b/>
        </w:rPr>
        <w:t xml:space="preserve"> </w:t>
      </w:r>
      <w:r w:rsidR="009D2541" w:rsidRPr="002D7C5A">
        <w:rPr>
          <w:b/>
        </w:rPr>
        <w:fldChar w:fldCharType="begin"/>
      </w:r>
      <w:r w:rsidRPr="002D7C5A">
        <w:rPr>
          <w:b/>
        </w:rPr>
        <w:instrText xml:space="preserve"> </w:instrText>
      </w:r>
      <w:r w:rsidRPr="002D7C5A">
        <w:rPr>
          <w:rFonts w:hint="eastAsia"/>
          <w:b/>
        </w:rPr>
        <w:instrText xml:space="preserve">SEQ </w:instrText>
      </w:r>
      <w:r w:rsidRPr="002D7C5A">
        <w:rPr>
          <w:rFonts w:hint="eastAsia"/>
          <w:b/>
        </w:rPr>
        <w:instrText>表</w:instrText>
      </w:r>
      <w:r w:rsidRPr="002D7C5A">
        <w:rPr>
          <w:rFonts w:hint="eastAsia"/>
          <w:b/>
        </w:rPr>
        <w:instrText xml:space="preserve"> \* ARABIC</w:instrText>
      </w:r>
      <w:r w:rsidRPr="002D7C5A">
        <w:rPr>
          <w:b/>
        </w:rPr>
        <w:instrText xml:space="preserve"> </w:instrText>
      </w:r>
      <w:r w:rsidR="009D2541" w:rsidRPr="002D7C5A">
        <w:rPr>
          <w:b/>
        </w:rPr>
        <w:fldChar w:fldCharType="separate"/>
      </w:r>
      <w:r w:rsidR="003559DA" w:rsidRPr="002D7C5A">
        <w:rPr>
          <w:b/>
          <w:noProof/>
        </w:rPr>
        <w:t>3</w:t>
      </w:r>
      <w:r w:rsidR="009D2541" w:rsidRPr="002D7C5A">
        <w:rPr>
          <w:b/>
        </w:rPr>
        <w:fldChar w:fldCharType="end"/>
      </w:r>
      <w:r w:rsidRPr="002D7C5A">
        <w:rPr>
          <w:rFonts w:hint="eastAsia"/>
          <w:b/>
        </w:rPr>
        <w:t>澳大利亚</w:t>
      </w:r>
      <w:r w:rsidRPr="002D7C5A">
        <w:rPr>
          <w:b/>
        </w:rPr>
        <w:t>超级年金雇主缴费率</w:t>
      </w:r>
    </w:p>
    <w:p w:rsidR="00BB32A0" w:rsidRPr="00BB32A0" w:rsidRDefault="00BB32A0" w:rsidP="00BB32A0">
      <w:pPr>
        <w:jc w:val="right"/>
      </w:pPr>
      <w:r>
        <w:rPr>
          <w:rFonts w:hint="eastAsia"/>
        </w:rPr>
        <w:t>单位：</w:t>
      </w:r>
      <w:r>
        <w:rPr>
          <w:rFonts w:hint="eastAsia"/>
        </w:rPr>
        <w:t>%</w:t>
      </w:r>
    </w:p>
    <w:tbl>
      <w:tblPr>
        <w:tblW w:w="0" w:type="auto"/>
        <w:jc w:val="center"/>
        <w:tblLook w:val="04A0"/>
      </w:tblPr>
      <w:tblGrid>
        <w:gridCol w:w="1536"/>
        <w:gridCol w:w="656"/>
        <w:gridCol w:w="656"/>
        <w:gridCol w:w="656"/>
        <w:gridCol w:w="656"/>
        <w:gridCol w:w="656"/>
        <w:gridCol w:w="656"/>
        <w:gridCol w:w="656"/>
        <w:gridCol w:w="656"/>
      </w:tblGrid>
      <w:tr w:rsidR="00FF7B0E" w:rsidRPr="0010772A" w:rsidTr="004B5BAC">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7B0E" w:rsidRPr="0010772A" w:rsidRDefault="00FF7B0E" w:rsidP="004B5BA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年份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1992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1993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1994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1995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1996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DD14A8">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199</w:t>
            </w:r>
            <w:r w:rsidR="00DD14A8">
              <w:rPr>
                <w:rFonts w:ascii="宋体" w:eastAsia="宋体" w:hAnsi="宋体" w:cs="宋体"/>
                <w:color w:val="000000"/>
                <w:kern w:val="0"/>
                <w:sz w:val="22"/>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2002</w:t>
            </w:r>
          </w:p>
        </w:tc>
      </w:tr>
      <w:tr w:rsidR="00FF7B0E" w:rsidRPr="0010772A" w:rsidTr="004B5BAC">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B0E" w:rsidRPr="0010772A" w:rsidRDefault="00FF7B0E" w:rsidP="00BB32A0">
            <w:pPr>
              <w:widowControl/>
              <w:jc w:val="left"/>
              <w:rPr>
                <w:rFonts w:ascii="宋体" w:eastAsia="宋体" w:hAnsi="宋体" w:cs="宋体"/>
                <w:color w:val="000000"/>
                <w:kern w:val="0"/>
                <w:sz w:val="22"/>
              </w:rPr>
            </w:pPr>
            <w:r w:rsidRPr="0010772A">
              <w:rPr>
                <w:rFonts w:ascii="宋体" w:eastAsia="宋体" w:hAnsi="宋体" w:cs="宋体" w:hint="eastAsia"/>
                <w:color w:val="000000"/>
                <w:kern w:val="0"/>
                <w:sz w:val="22"/>
              </w:rPr>
              <w:t>最低缴费标准</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9</w:t>
            </w:r>
          </w:p>
        </w:tc>
      </w:tr>
      <w:tr w:rsidR="00FF7B0E" w:rsidRPr="0010772A" w:rsidTr="004B5BAC">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B0E" w:rsidRPr="0010772A" w:rsidRDefault="00FF7B0E" w:rsidP="004B5BA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年份</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2013</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2014</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2021</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2022</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2023</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2024</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2025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p>
        </w:tc>
      </w:tr>
      <w:tr w:rsidR="00FF7B0E" w:rsidRPr="0010772A" w:rsidTr="004B5BAC">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F7B0E" w:rsidRPr="0010772A" w:rsidRDefault="00FF7B0E" w:rsidP="00BB32A0">
            <w:pPr>
              <w:widowControl/>
              <w:jc w:val="left"/>
              <w:rPr>
                <w:rFonts w:ascii="宋体" w:eastAsia="宋体" w:hAnsi="宋体" w:cs="宋体"/>
                <w:color w:val="000000"/>
                <w:kern w:val="0"/>
                <w:sz w:val="22"/>
              </w:rPr>
            </w:pPr>
            <w:r w:rsidRPr="0010772A">
              <w:rPr>
                <w:rFonts w:ascii="宋体" w:eastAsia="宋体" w:hAnsi="宋体" w:cs="宋体" w:hint="eastAsia"/>
                <w:color w:val="000000"/>
                <w:kern w:val="0"/>
                <w:sz w:val="22"/>
              </w:rPr>
              <w:t>最低缴费标准</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9.25</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9.5</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10</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10.5</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11</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11.5</w:t>
            </w:r>
          </w:p>
        </w:tc>
        <w:tc>
          <w:tcPr>
            <w:tcW w:w="0" w:type="auto"/>
            <w:tcBorders>
              <w:top w:val="nil"/>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r w:rsidRPr="0010772A">
              <w:rPr>
                <w:rFonts w:ascii="宋体" w:eastAsia="宋体" w:hAnsi="宋体" w:cs="宋体" w:hint="eastAsia"/>
                <w:color w:val="000000"/>
                <w:kern w:val="0"/>
                <w:sz w:val="22"/>
              </w:rPr>
              <w:t>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F7B0E" w:rsidRPr="0010772A" w:rsidRDefault="00FF7B0E" w:rsidP="004B5BAC">
            <w:pPr>
              <w:widowControl/>
              <w:jc w:val="center"/>
              <w:rPr>
                <w:rFonts w:ascii="宋体" w:eastAsia="宋体" w:hAnsi="宋体" w:cs="宋体"/>
                <w:color w:val="000000"/>
                <w:kern w:val="0"/>
                <w:sz w:val="22"/>
              </w:rPr>
            </w:pPr>
          </w:p>
        </w:tc>
      </w:tr>
    </w:tbl>
    <w:p w:rsidR="00FF7B0E" w:rsidRDefault="00FF7B0E" w:rsidP="00B346B1">
      <w:pPr>
        <w:ind w:firstLine="420"/>
      </w:pPr>
    </w:p>
    <w:p w:rsidR="00B346B1" w:rsidRDefault="00B346B1" w:rsidP="00BB32A0">
      <w:r>
        <w:rPr>
          <w:rFonts w:hint="eastAsia"/>
        </w:rPr>
        <w:t>澳大利亚</w:t>
      </w:r>
      <w:r>
        <w:t>超级年金</w:t>
      </w:r>
      <w:r>
        <w:rPr>
          <w:rFonts w:hint="eastAsia"/>
        </w:rPr>
        <w:t>基金目前</w:t>
      </w:r>
      <w:r>
        <w:t>主要有公司基金、行业基金、公共部门</w:t>
      </w:r>
      <w:r>
        <w:rPr>
          <w:rFonts w:hint="eastAsia"/>
        </w:rPr>
        <w:t>基金</w:t>
      </w:r>
      <w:r>
        <w:t>、零售基金和小型</w:t>
      </w:r>
      <w:r>
        <w:rPr>
          <w:rFonts w:hint="eastAsia"/>
        </w:rPr>
        <w:t>年金</w:t>
      </w:r>
      <w:r>
        <w:t>基金</w:t>
      </w:r>
      <w:r>
        <w:t>5</w:t>
      </w:r>
      <w:r w:rsidR="00913CD6">
        <w:rPr>
          <w:rFonts w:hint="eastAsia"/>
        </w:rPr>
        <w:t>种</w:t>
      </w:r>
      <w:r>
        <w:t>类型。</w:t>
      </w:r>
      <w:r>
        <w:rPr>
          <w:rFonts w:hint="eastAsia"/>
        </w:rPr>
        <w:t>小型</w:t>
      </w:r>
      <w:r>
        <w:t>基金是指成员在</w:t>
      </w:r>
      <w:r>
        <w:rPr>
          <w:rFonts w:hint="eastAsia"/>
        </w:rPr>
        <w:t>5</w:t>
      </w:r>
      <w:r>
        <w:rPr>
          <w:rFonts w:hint="eastAsia"/>
        </w:rPr>
        <w:t>人以下、</w:t>
      </w:r>
      <w:r>
        <w:t>个人基金和自营型超级年金</w:t>
      </w:r>
      <w:r w:rsidR="00926D15">
        <w:t>（</w:t>
      </w:r>
      <w:r w:rsidR="00926D15">
        <w:rPr>
          <w:rFonts w:hint="eastAsia"/>
        </w:rPr>
        <w:t>Sel</w:t>
      </w:r>
      <w:r w:rsidR="00926D15">
        <w:t>f Manage Small Fund</w:t>
      </w:r>
      <w:r w:rsidR="00926D15">
        <w:rPr>
          <w:rFonts w:hint="eastAsia"/>
        </w:rPr>
        <w:t>，</w:t>
      </w:r>
      <w:r w:rsidR="00926D15">
        <w:t>SMSF</w:t>
      </w:r>
      <w:r w:rsidR="00926D15">
        <w:t>）</w:t>
      </w:r>
      <w:r>
        <w:t>，</w:t>
      </w:r>
      <w:r>
        <w:rPr>
          <w:rFonts w:hint="eastAsia"/>
        </w:rPr>
        <w:t>自营型</w:t>
      </w:r>
      <w:r>
        <w:t>超级年金受</w:t>
      </w:r>
      <w:r w:rsidR="002E220B">
        <w:rPr>
          <w:rFonts w:hint="eastAsia"/>
        </w:rPr>
        <w:t>澳大利亚</w:t>
      </w:r>
      <w:r w:rsidR="002E220B">
        <w:t>税务局</w:t>
      </w:r>
      <w:r w:rsidR="002E220B">
        <w:rPr>
          <w:rFonts w:hint="eastAsia"/>
        </w:rPr>
        <w:t>（</w:t>
      </w:r>
      <w:r w:rsidR="002E220B">
        <w:rPr>
          <w:rFonts w:hint="eastAsia"/>
        </w:rPr>
        <w:t>ATO</w:t>
      </w:r>
      <w:r w:rsidR="002E220B">
        <w:rPr>
          <w:rFonts w:hint="eastAsia"/>
        </w:rPr>
        <w:t>）</w:t>
      </w:r>
      <w:r>
        <w:t>监管</w:t>
      </w:r>
      <w:r>
        <w:rPr>
          <w:rFonts w:hint="eastAsia"/>
        </w:rPr>
        <w:t>，</w:t>
      </w:r>
      <w:r>
        <w:t>其余四</w:t>
      </w:r>
      <w:r w:rsidR="00913CD6">
        <w:rPr>
          <w:rFonts w:hint="eastAsia"/>
        </w:rPr>
        <w:t>种</w:t>
      </w:r>
      <w:r>
        <w:t>类型的基金</w:t>
      </w:r>
      <w:r>
        <w:rPr>
          <w:rFonts w:hint="eastAsia"/>
        </w:rPr>
        <w:t>均</w:t>
      </w:r>
      <w:r w:rsidR="00BB32A0">
        <w:rPr>
          <w:rFonts w:hint="eastAsia"/>
        </w:rPr>
        <w:t>由</w:t>
      </w:r>
      <w:r>
        <w:t>澳大利亚审慎监管局</w:t>
      </w:r>
      <w:r w:rsidR="002E220B">
        <w:rPr>
          <w:rFonts w:hint="eastAsia"/>
        </w:rPr>
        <w:t>（</w:t>
      </w:r>
      <w:r w:rsidR="002E220B">
        <w:rPr>
          <w:rFonts w:hint="eastAsia"/>
        </w:rPr>
        <w:t>APRA</w:t>
      </w:r>
      <w:r w:rsidR="002E220B">
        <w:rPr>
          <w:rFonts w:hint="eastAsia"/>
        </w:rPr>
        <w:t>）</w:t>
      </w:r>
      <w:r>
        <w:t>管理</w:t>
      </w:r>
      <w:r w:rsidR="00BB32A0">
        <w:rPr>
          <w:rFonts w:hint="eastAsia"/>
        </w:rPr>
        <w:t>。</w:t>
      </w:r>
      <w:r>
        <w:rPr>
          <w:rFonts w:hint="eastAsia"/>
        </w:rPr>
        <w:t>表</w:t>
      </w:r>
      <w:r w:rsidR="00BB32A0">
        <w:rPr>
          <w:rFonts w:hint="eastAsia"/>
        </w:rPr>
        <w:t>4</w:t>
      </w:r>
      <w:r>
        <w:t>为</w:t>
      </w:r>
      <w:r>
        <w:rPr>
          <w:rFonts w:hint="eastAsia"/>
        </w:rPr>
        <w:t>各类型</w:t>
      </w:r>
      <w:r w:rsidR="00BB32A0">
        <w:t>基金</w:t>
      </w:r>
      <w:r w:rsidR="00BB32A0">
        <w:rPr>
          <w:rFonts w:hint="eastAsia"/>
        </w:rPr>
        <w:t>的资产管理情况</w:t>
      </w:r>
      <w:r>
        <w:t>。</w:t>
      </w:r>
      <w:r>
        <w:rPr>
          <w:rFonts w:hint="eastAsia"/>
        </w:rPr>
        <w:t>从</w:t>
      </w:r>
      <w:r>
        <w:t>规模上来看</w:t>
      </w:r>
      <w:r w:rsidR="00BB32A0">
        <w:rPr>
          <w:rFonts w:hint="eastAsia"/>
        </w:rPr>
        <w:t>，</w:t>
      </w:r>
      <w:r>
        <w:t>行业基金、公共部门基金</w:t>
      </w:r>
      <w:r>
        <w:rPr>
          <w:rFonts w:hint="eastAsia"/>
        </w:rPr>
        <w:t>、</w:t>
      </w:r>
      <w:r>
        <w:t>零售基金和小型基金是超级年金的主要</w:t>
      </w:r>
      <w:r>
        <w:rPr>
          <w:rFonts w:hint="eastAsia"/>
        </w:rPr>
        <w:t>组成</w:t>
      </w:r>
      <w:r>
        <w:t>部分。</w:t>
      </w:r>
    </w:p>
    <w:p w:rsidR="00B346B1" w:rsidRPr="00BB32A0" w:rsidRDefault="00B346B1" w:rsidP="00B346B1">
      <w:pPr>
        <w:ind w:firstLine="420"/>
      </w:pPr>
    </w:p>
    <w:p w:rsidR="006A7805" w:rsidRPr="00BB32A0" w:rsidRDefault="006A7805" w:rsidP="004002FA">
      <w:pPr>
        <w:pStyle w:val="af"/>
        <w:keepNext/>
        <w:jc w:val="center"/>
        <w:rPr>
          <w:b/>
        </w:rPr>
      </w:pPr>
      <w:r w:rsidRPr="00BB32A0">
        <w:rPr>
          <w:rFonts w:hint="eastAsia"/>
          <w:b/>
        </w:rPr>
        <w:t>表</w:t>
      </w:r>
      <w:r w:rsidRPr="00BB32A0">
        <w:rPr>
          <w:rFonts w:hint="eastAsia"/>
          <w:b/>
        </w:rPr>
        <w:t xml:space="preserve"> </w:t>
      </w:r>
      <w:r w:rsidR="009D2541" w:rsidRPr="00BB32A0">
        <w:rPr>
          <w:b/>
        </w:rPr>
        <w:fldChar w:fldCharType="begin"/>
      </w:r>
      <w:r w:rsidRPr="00BB32A0">
        <w:rPr>
          <w:b/>
        </w:rPr>
        <w:instrText xml:space="preserve"> </w:instrText>
      </w:r>
      <w:r w:rsidRPr="00BB32A0">
        <w:rPr>
          <w:rFonts w:hint="eastAsia"/>
          <w:b/>
        </w:rPr>
        <w:instrText xml:space="preserve">SEQ </w:instrText>
      </w:r>
      <w:r w:rsidRPr="00BB32A0">
        <w:rPr>
          <w:rFonts w:hint="eastAsia"/>
          <w:b/>
        </w:rPr>
        <w:instrText>表</w:instrText>
      </w:r>
      <w:r w:rsidRPr="00BB32A0">
        <w:rPr>
          <w:rFonts w:hint="eastAsia"/>
          <w:b/>
        </w:rPr>
        <w:instrText xml:space="preserve"> \* ARABIC</w:instrText>
      </w:r>
      <w:r w:rsidRPr="00BB32A0">
        <w:rPr>
          <w:b/>
        </w:rPr>
        <w:instrText xml:space="preserve"> </w:instrText>
      </w:r>
      <w:r w:rsidR="009D2541" w:rsidRPr="00BB32A0">
        <w:rPr>
          <w:b/>
        </w:rPr>
        <w:fldChar w:fldCharType="separate"/>
      </w:r>
      <w:r w:rsidR="003559DA" w:rsidRPr="00BB32A0">
        <w:rPr>
          <w:b/>
          <w:noProof/>
        </w:rPr>
        <w:t>4</w:t>
      </w:r>
      <w:r w:rsidR="009D2541" w:rsidRPr="00BB32A0">
        <w:rPr>
          <w:b/>
        </w:rPr>
        <w:fldChar w:fldCharType="end"/>
      </w:r>
      <w:r w:rsidRPr="00BB32A0">
        <w:rPr>
          <w:b/>
        </w:rPr>
        <w:t xml:space="preserve"> </w:t>
      </w:r>
      <w:r w:rsidRPr="00BB32A0">
        <w:rPr>
          <w:rFonts w:hint="eastAsia"/>
          <w:b/>
        </w:rPr>
        <w:t>澳大利亚不同</w:t>
      </w:r>
      <w:r w:rsidRPr="00BB32A0">
        <w:rPr>
          <w:b/>
        </w:rPr>
        <w:t>类型</w:t>
      </w:r>
      <w:r w:rsidRPr="00BB32A0">
        <w:rPr>
          <w:rFonts w:hint="eastAsia"/>
          <w:b/>
        </w:rPr>
        <w:t>超级</w:t>
      </w:r>
      <w:r w:rsidRPr="00BB32A0">
        <w:rPr>
          <w:b/>
        </w:rPr>
        <w:t>年金基金</w:t>
      </w:r>
      <w:r w:rsidRPr="00BB32A0">
        <w:rPr>
          <w:rFonts w:hint="eastAsia"/>
          <w:b/>
        </w:rPr>
        <w:t>资产</w:t>
      </w:r>
      <w:r w:rsidRPr="00BB32A0">
        <w:rPr>
          <w:b/>
        </w:rPr>
        <w:t>管理情况</w:t>
      </w:r>
    </w:p>
    <w:tbl>
      <w:tblPr>
        <w:tblStyle w:val="31"/>
        <w:tblW w:w="0" w:type="auto"/>
        <w:jc w:val="center"/>
        <w:tblBorders>
          <w:top w:val="single" w:sz="4" w:space="0" w:color="auto"/>
          <w:bottom w:val="single" w:sz="4" w:space="0" w:color="auto"/>
          <w:insideH w:val="single" w:sz="4" w:space="0" w:color="auto"/>
          <w:insideV w:val="single" w:sz="4" w:space="0" w:color="auto"/>
        </w:tblBorders>
        <w:tblLook w:val="04A0"/>
      </w:tblPr>
      <w:tblGrid>
        <w:gridCol w:w="1481"/>
        <w:gridCol w:w="1060"/>
        <w:gridCol w:w="1586"/>
        <w:gridCol w:w="2428"/>
        <w:gridCol w:w="1691"/>
      </w:tblGrid>
      <w:tr w:rsidR="00B346B1" w:rsidRPr="009C0DF1" w:rsidTr="002D7C5A">
        <w:trPr>
          <w:cnfStyle w:val="100000000000"/>
          <w:trHeight w:val="270"/>
          <w:jc w:val="center"/>
        </w:trPr>
        <w:tc>
          <w:tcPr>
            <w:cnfStyle w:val="001000000100"/>
            <w:tcW w:w="0" w:type="auto"/>
            <w:tcBorders>
              <w:bottom w:val="single" w:sz="4" w:space="0" w:color="auto"/>
              <w:right w:val="none" w:sz="0" w:space="0" w:color="auto"/>
            </w:tcBorders>
            <w:shd w:val="clear" w:color="auto" w:fill="auto"/>
            <w:noWrap/>
            <w:hideMark/>
          </w:tcPr>
          <w:p w:rsidR="00B346B1" w:rsidRPr="00E527A2" w:rsidRDefault="002D7C5A" w:rsidP="00D25A6A">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项目</w:t>
            </w:r>
          </w:p>
        </w:tc>
        <w:tc>
          <w:tcPr>
            <w:tcW w:w="0" w:type="auto"/>
            <w:tcBorders>
              <w:bottom w:val="single" w:sz="4" w:space="0" w:color="auto"/>
            </w:tcBorders>
            <w:shd w:val="clear" w:color="auto" w:fill="auto"/>
            <w:noWrap/>
            <w:hideMark/>
          </w:tcPr>
          <w:p w:rsidR="00BB32A0" w:rsidRDefault="00B346B1" w:rsidP="00BB32A0">
            <w:pPr>
              <w:widowControl/>
              <w:jc w:val="center"/>
              <w:cnfStyle w:val="100000000000"/>
              <w:rPr>
                <w:rFonts w:ascii="宋体" w:eastAsia="宋体" w:hAnsi="宋体" w:cs="宋体"/>
                <w:color w:val="000000"/>
                <w:kern w:val="0"/>
                <w:szCs w:val="21"/>
              </w:rPr>
            </w:pPr>
            <w:r w:rsidRPr="00E527A2">
              <w:rPr>
                <w:rFonts w:ascii="宋体" w:eastAsia="宋体" w:hAnsi="宋体" w:cs="宋体" w:hint="eastAsia"/>
                <w:color w:val="000000"/>
                <w:kern w:val="0"/>
                <w:szCs w:val="21"/>
              </w:rPr>
              <w:t>基金个数</w:t>
            </w:r>
          </w:p>
          <w:p w:rsidR="00B346B1" w:rsidRPr="00E527A2" w:rsidRDefault="00BB32A0" w:rsidP="00BB32A0">
            <w:pPr>
              <w:widowControl/>
              <w:jc w:val="center"/>
              <w:cnfStyle w:val="100000000000"/>
              <w:rPr>
                <w:rFonts w:ascii="宋体" w:eastAsia="宋体" w:hAnsi="宋体" w:cs="宋体"/>
                <w:color w:val="000000"/>
                <w:kern w:val="0"/>
                <w:szCs w:val="21"/>
              </w:rPr>
            </w:pPr>
            <w:r>
              <w:rPr>
                <w:rFonts w:ascii="宋体" w:eastAsia="宋体" w:hAnsi="宋体" w:cs="宋体" w:hint="eastAsia"/>
                <w:color w:val="000000"/>
                <w:kern w:val="0"/>
                <w:szCs w:val="21"/>
              </w:rPr>
              <w:t>（只）</w:t>
            </w:r>
          </w:p>
        </w:tc>
        <w:tc>
          <w:tcPr>
            <w:tcW w:w="0" w:type="auto"/>
            <w:tcBorders>
              <w:bottom w:val="single" w:sz="4" w:space="0" w:color="auto"/>
            </w:tcBorders>
            <w:shd w:val="clear" w:color="auto" w:fill="auto"/>
            <w:noWrap/>
            <w:hideMark/>
          </w:tcPr>
          <w:p w:rsidR="00B346B1" w:rsidRPr="00E527A2" w:rsidRDefault="00B346B1" w:rsidP="00BB32A0">
            <w:pPr>
              <w:widowControl/>
              <w:ind w:leftChars="150" w:left="315"/>
              <w:jc w:val="center"/>
              <w:cnfStyle w:val="100000000000"/>
              <w:rPr>
                <w:rFonts w:ascii="宋体" w:eastAsia="宋体" w:hAnsi="宋体" w:cs="宋体"/>
                <w:color w:val="000000"/>
                <w:kern w:val="0"/>
                <w:szCs w:val="21"/>
              </w:rPr>
            </w:pPr>
            <w:r w:rsidRPr="00E527A2">
              <w:rPr>
                <w:rFonts w:ascii="宋体" w:eastAsia="宋体" w:hAnsi="宋体" w:cs="宋体" w:hint="eastAsia"/>
                <w:color w:val="000000"/>
                <w:kern w:val="0"/>
                <w:szCs w:val="21"/>
              </w:rPr>
              <w:t>管理资产</w:t>
            </w:r>
            <w:r w:rsidRPr="009C0DF1">
              <w:rPr>
                <w:rFonts w:ascii="宋体" w:eastAsia="宋体" w:hAnsi="宋体" w:cs="宋体"/>
                <w:color w:val="000000"/>
                <w:kern w:val="0"/>
                <w:szCs w:val="21"/>
              </w:rPr>
              <w:br/>
            </w:r>
            <w:r w:rsidRPr="009C0DF1">
              <w:rPr>
                <w:rFonts w:ascii="宋体" w:eastAsia="宋体" w:hAnsi="宋体" w:cs="宋体" w:hint="eastAsia"/>
                <w:color w:val="000000"/>
                <w:kern w:val="0"/>
                <w:szCs w:val="21"/>
              </w:rPr>
              <w:t>（亿</w:t>
            </w:r>
            <w:r w:rsidRPr="009C0DF1">
              <w:rPr>
                <w:rFonts w:ascii="宋体" w:eastAsia="宋体" w:hAnsi="宋体" w:cs="宋体"/>
                <w:color w:val="000000"/>
                <w:kern w:val="0"/>
                <w:szCs w:val="21"/>
              </w:rPr>
              <w:t>澳元</w:t>
            </w:r>
            <w:r w:rsidRPr="009C0DF1">
              <w:rPr>
                <w:rFonts w:ascii="宋体" w:eastAsia="宋体" w:hAnsi="宋体" w:cs="宋体" w:hint="eastAsia"/>
                <w:color w:val="000000"/>
                <w:kern w:val="0"/>
                <w:szCs w:val="21"/>
              </w:rPr>
              <w:t>）</w:t>
            </w:r>
          </w:p>
        </w:tc>
        <w:tc>
          <w:tcPr>
            <w:tcW w:w="0" w:type="auto"/>
            <w:tcBorders>
              <w:bottom w:val="single" w:sz="4" w:space="0" w:color="auto"/>
            </w:tcBorders>
            <w:shd w:val="clear" w:color="auto" w:fill="auto"/>
            <w:noWrap/>
            <w:hideMark/>
          </w:tcPr>
          <w:p w:rsidR="00B346B1" w:rsidRPr="00E527A2" w:rsidRDefault="00B346B1" w:rsidP="00BB32A0">
            <w:pPr>
              <w:widowControl/>
              <w:ind w:leftChars="250" w:left="630" w:hangingChars="50" w:hanging="105"/>
              <w:jc w:val="center"/>
              <w:cnfStyle w:val="100000000000"/>
              <w:rPr>
                <w:rFonts w:ascii="宋体" w:eastAsia="宋体" w:hAnsi="宋体" w:cs="宋体"/>
                <w:color w:val="000000"/>
                <w:kern w:val="0"/>
                <w:szCs w:val="21"/>
              </w:rPr>
            </w:pPr>
            <w:r w:rsidRPr="00E527A2">
              <w:rPr>
                <w:rFonts w:ascii="宋体" w:eastAsia="宋体" w:hAnsi="宋体" w:cs="宋体" w:hint="eastAsia"/>
                <w:color w:val="000000"/>
                <w:kern w:val="0"/>
                <w:szCs w:val="21"/>
              </w:rPr>
              <w:t>平均基金管理资产</w:t>
            </w:r>
            <w:r w:rsidRPr="009C0DF1">
              <w:rPr>
                <w:rFonts w:ascii="宋体" w:eastAsia="宋体" w:hAnsi="宋体" w:cs="宋体"/>
                <w:color w:val="000000"/>
                <w:kern w:val="0"/>
                <w:szCs w:val="21"/>
              </w:rPr>
              <w:br/>
            </w:r>
            <w:r w:rsidRPr="009C0DF1">
              <w:rPr>
                <w:rFonts w:ascii="宋体" w:eastAsia="宋体" w:hAnsi="宋体" w:cs="宋体" w:hint="eastAsia"/>
                <w:color w:val="000000"/>
                <w:kern w:val="0"/>
                <w:szCs w:val="21"/>
              </w:rPr>
              <w:t>（亿</w:t>
            </w:r>
            <w:r w:rsidRPr="009C0DF1">
              <w:rPr>
                <w:rFonts w:ascii="宋体" w:eastAsia="宋体" w:hAnsi="宋体" w:cs="宋体"/>
                <w:color w:val="000000"/>
                <w:kern w:val="0"/>
                <w:szCs w:val="21"/>
              </w:rPr>
              <w:t>澳元</w:t>
            </w:r>
            <w:r w:rsidRPr="009C0DF1">
              <w:rPr>
                <w:rFonts w:ascii="宋体" w:eastAsia="宋体" w:hAnsi="宋体" w:cs="宋体" w:hint="eastAsia"/>
                <w:color w:val="000000"/>
                <w:kern w:val="0"/>
                <w:szCs w:val="21"/>
              </w:rPr>
              <w:t>）</w:t>
            </w:r>
          </w:p>
        </w:tc>
        <w:tc>
          <w:tcPr>
            <w:tcW w:w="0" w:type="auto"/>
            <w:tcBorders>
              <w:bottom w:val="single" w:sz="4" w:space="0" w:color="auto"/>
            </w:tcBorders>
            <w:shd w:val="clear" w:color="auto" w:fill="auto"/>
            <w:vAlign w:val="bottom"/>
          </w:tcPr>
          <w:p w:rsidR="00B346B1" w:rsidRPr="009C0DF1" w:rsidRDefault="00B346B1" w:rsidP="00BB32A0">
            <w:pPr>
              <w:widowControl/>
              <w:ind w:leftChars="200" w:left="736" w:hangingChars="150" w:hanging="316"/>
              <w:jc w:val="center"/>
              <w:cnfStyle w:val="100000000000"/>
              <w:rPr>
                <w:color w:val="000000"/>
                <w:szCs w:val="21"/>
              </w:rPr>
            </w:pPr>
            <w:r w:rsidRPr="009C0DF1">
              <w:rPr>
                <w:rFonts w:hint="eastAsia"/>
                <w:color w:val="000000"/>
                <w:szCs w:val="21"/>
              </w:rPr>
              <w:t>管理账户数</w:t>
            </w:r>
            <w:r w:rsidRPr="009C0DF1">
              <w:rPr>
                <w:color w:val="000000"/>
                <w:szCs w:val="21"/>
              </w:rPr>
              <w:br/>
            </w:r>
            <w:r w:rsidRPr="009C0DF1">
              <w:rPr>
                <w:rFonts w:hint="eastAsia"/>
                <w:color w:val="000000"/>
                <w:szCs w:val="21"/>
              </w:rPr>
              <w:t>(</w:t>
            </w:r>
            <w:r w:rsidRPr="009C0DF1">
              <w:rPr>
                <w:rFonts w:hint="eastAsia"/>
                <w:color w:val="000000"/>
                <w:szCs w:val="21"/>
              </w:rPr>
              <w:t>万个</w:t>
            </w:r>
            <w:r w:rsidRPr="009C0DF1">
              <w:rPr>
                <w:rFonts w:hint="eastAsia"/>
                <w:color w:val="000000"/>
                <w:szCs w:val="21"/>
              </w:rPr>
              <w:t>)</w:t>
            </w:r>
          </w:p>
        </w:tc>
      </w:tr>
      <w:tr w:rsidR="00B346B1" w:rsidRPr="009C0DF1" w:rsidTr="002D7C5A">
        <w:trPr>
          <w:cnfStyle w:val="000000100000"/>
          <w:trHeight w:val="270"/>
          <w:jc w:val="center"/>
        </w:trPr>
        <w:tc>
          <w:tcPr>
            <w:cnfStyle w:val="001000000000"/>
            <w:tcW w:w="0" w:type="auto"/>
            <w:tcBorders>
              <w:bottom w:val="nil"/>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公司基金</w:t>
            </w:r>
          </w:p>
        </w:tc>
        <w:tc>
          <w:tcPr>
            <w:tcW w:w="0" w:type="auto"/>
            <w:tcBorders>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24</w:t>
            </w:r>
          </w:p>
        </w:tc>
        <w:tc>
          <w:tcPr>
            <w:tcW w:w="0" w:type="auto"/>
            <w:tcBorders>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546</w:t>
            </w:r>
          </w:p>
        </w:tc>
        <w:tc>
          <w:tcPr>
            <w:tcW w:w="0" w:type="auto"/>
            <w:tcBorders>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22.75</w:t>
            </w:r>
          </w:p>
        </w:tc>
        <w:tc>
          <w:tcPr>
            <w:tcW w:w="0" w:type="auto"/>
            <w:tcBorders>
              <w:bottom w:val="nil"/>
            </w:tcBorders>
            <w:shd w:val="clear" w:color="auto" w:fill="auto"/>
            <w:vAlign w:val="bottom"/>
          </w:tcPr>
          <w:p w:rsidR="00B346B1" w:rsidRPr="009C0DF1" w:rsidRDefault="00B346B1" w:rsidP="00D25A6A">
            <w:pPr>
              <w:jc w:val="right"/>
              <w:cnfStyle w:val="000000100000"/>
              <w:rPr>
                <w:color w:val="000000"/>
                <w:szCs w:val="21"/>
              </w:rPr>
            </w:pPr>
            <w:r w:rsidRPr="009C0DF1">
              <w:rPr>
                <w:rFonts w:hint="eastAsia"/>
                <w:color w:val="000000"/>
                <w:szCs w:val="21"/>
              </w:rPr>
              <w:t>34.1</w:t>
            </w:r>
          </w:p>
        </w:tc>
      </w:tr>
      <w:tr w:rsidR="00B346B1" w:rsidRPr="009C0DF1" w:rsidTr="002D7C5A">
        <w:trPr>
          <w:trHeight w:val="270"/>
          <w:jc w:val="center"/>
        </w:trPr>
        <w:tc>
          <w:tcPr>
            <w:cnfStyle w:val="001000000000"/>
            <w:tcW w:w="0" w:type="auto"/>
            <w:tcBorders>
              <w:top w:val="nil"/>
              <w:bottom w:val="nil"/>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行业基金</w:t>
            </w:r>
          </w:p>
        </w:tc>
        <w:tc>
          <w:tcPr>
            <w:tcW w:w="0" w:type="auto"/>
            <w:tcBorders>
              <w:top w:val="nil"/>
              <w:bottom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40</w:t>
            </w:r>
          </w:p>
        </w:tc>
        <w:tc>
          <w:tcPr>
            <w:tcW w:w="0" w:type="auto"/>
            <w:tcBorders>
              <w:top w:val="nil"/>
              <w:bottom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5898</w:t>
            </w:r>
          </w:p>
        </w:tc>
        <w:tc>
          <w:tcPr>
            <w:tcW w:w="0" w:type="auto"/>
            <w:tcBorders>
              <w:top w:val="nil"/>
              <w:bottom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147.45</w:t>
            </w:r>
          </w:p>
        </w:tc>
        <w:tc>
          <w:tcPr>
            <w:tcW w:w="0" w:type="auto"/>
            <w:tcBorders>
              <w:top w:val="nil"/>
              <w:bottom w:val="nil"/>
            </w:tcBorders>
            <w:shd w:val="clear" w:color="auto" w:fill="auto"/>
            <w:vAlign w:val="bottom"/>
          </w:tcPr>
          <w:p w:rsidR="00B346B1" w:rsidRPr="009C0DF1" w:rsidRDefault="00B346B1" w:rsidP="00D25A6A">
            <w:pPr>
              <w:jc w:val="right"/>
              <w:cnfStyle w:val="000000000000"/>
              <w:rPr>
                <w:color w:val="000000"/>
                <w:szCs w:val="21"/>
              </w:rPr>
            </w:pPr>
            <w:r w:rsidRPr="009C0DF1">
              <w:rPr>
                <w:rFonts w:hint="eastAsia"/>
                <w:color w:val="000000"/>
                <w:szCs w:val="21"/>
              </w:rPr>
              <w:t>1111.8</w:t>
            </w:r>
          </w:p>
        </w:tc>
      </w:tr>
      <w:tr w:rsidR="00B346B1" w:rsidRPr="009C0DF1" w:rsidTr="002D7C5A">
        <w:trPr>
          <w:cnfStyle w:val="000000100000"/>
          <w:trHeight w:val="270"/>
          <w:jc w:val="center"/>
        </w:trPr>
        <w:tc>
          <w:tcPr>
            <w:cnfStyle w:val="001000000000"/>
            <w:tcW w:w="0" w:type="auto"/>
            <w:tcBorders>
              <w:top w:val="nil"/>
              <w:bottom w:val="nil"/>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公共部门基金</w:t>
            </w:r>
          </w:p>
        </w:tc>
        <w:tc>
          <w:tcPr>
            <w:tcW w:w="0" w:type="auto"/>
            <w:tcBorders>
              <w:top w:val="nil"/>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18</w:t>
            </w:r>
          </w:p>
        </w:tc>
        <w:tc>
          <w:tcPr>
            <w:tcW w:w="0" w:type="auto"/>
            <w:tcBorders>
              <w:top w:val="nil"/>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4390</w:t>
            </w:r>
          </w:p>
        </w:tc>
        <w:tc>
          <w:tcPr>
            <w:tcW w:w="0" w:type="auto"/>
            <w:tcBorders>
              <w:top w:val="nil"/>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243.89</w:t>
            </w:r>
          </w:p>
        </w:tc>
        <w:tc>
          <w:tcPr>
            <w:tcW w:w="0" w:type="auto"/>
            <w:tcBorders>
              <w:top w:val="nil"/>
              <w:bottom w:val="nil"/>
            </w:tcBorders>
            <w:shd w:val="clear" w:color="auto" w:fill="auto"/>
            <w:vAlign w:val="bottom"/>
          </w:tcPr>
          <w:p w:rsidR="00B346B1" w:rsidRPr="009C0DF1" w:rsidRDefault="00B346B1" w:rsidP="00D25A6A">
            <w:pPr>
              <w:jc w:val="right"/>
              <w:cnfStyle w:val="000000100000"/>
              <w:rPr>
                <w:color w:val="000000"/>
                <w:szCs w:val="21"/>
              </w:rPr>
            </w:pPr>
            <w:r w:rsidRPr="009C0DF1">
              <w:rPr>
                <w:rFonts w:hint="eastAsia"/>
                <w:color w:val="000000"/>
                <w:szCs w:val="21"/>
              </w:rPr>
              <w:t>353.3</w:t>
            </w:r>
          </w:p>
        </w:tc>
      </w:tr>
      <w:tr w:rsidR="00B346B1" w:rsidRPr="009C0DF1" w:rsidTr="002D7C5A">
        <w:trPr>
          <w:trHeight w:val="270"/>
          <w:jc w:val="center"/>
        </w:trPr>
        <w:tc>
          <w:tcPr>
            <w:cnfStyle w:val="001000000000"/>
            <w:tcW w:w="0" w:type="auto"/>
            <w:tcBorders>
              <w:top w:val="nil"/>
              <w:bottom w:val="nil"/>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零售基金</w:t>
            </w:r>
          </w:p>
        </w:tc>
        <w:tc>
          <w:tcPr>
            <w:tcW w:w="0" w:type="auto"/>
            <w:tcBorders>
              <w:top w:val="nil"/>
              <w:bottom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125</w:t>
            </w:r>
          </w:p>
        </w:tc>
        <w:tc>
          <w:tcPr>
            <w:tcW w:w="0" w:type="auto"/>
            <w:tcBorders>
              <w:top w:val="nil"/>
              <w:bottom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6130</w:t>
            </w:r>
          </w:p>
        </w:tc>
        <w:tc>
          <w:tcPr>
            <w:tcW w:w="0" w:type="auto"/>
            <w:tcBorders>
              <w:top w:val="nil"/>
              <w:bottom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49.04</w:t>
            </w:r>
          </w:p>
        </w:tc>
        <w:tc>
          <w:tcPr>
            <w:tcW w:w="0" w:type="auto"/>
            <w:tcBorders>
              <w:top w:val="nil"/>
              <w:bottom w:val="nil"/>
            </w:tcBorders>
            <w:shd w:val="clear" w:color="auto" w:fill="auto"/>
            <w:vAlign w:val="bottom"/>
          </w:tcPr>
          <w:p w:rsidR="00B346B1" w:rsidRPr="009C0DF1" w:rsidRDefault="00B346B1" w:rsidP="00D25A6A">
            <w:pPr>
              <w:jc w:val="right"/>
              <w:cnfStyle w:val="000000000000"/>
              <w:rPr>
                <w:color w:val="000000"/>
                <w:szCs w:val="21"/>
              </w:rPr>
            </w:pPr>
            <w:r w:rsidRPr="009C0DF1">
              <w:rPr>
                <w:rFonts w:hint="eastAsia"/>
                <w:color w:val="000000"/>
                <w:szCs w:val="21"/>
              </w:rPr>
              <w:t>1297.8</w:t>
            </w:r>
          </w:p>
        </w:tc>
      </w:tr>
      <w:tr w:rsidR="00B346B1" w:rsidRPr="009C0DF1" w:rsidTr="002D7C5A">
        <w:trPr>
          <w:cnfStyle w:val="000000100000"/>
          <w:trHeight w:val="270"/>
          <w:jc w:val="center"/>
        </w:trPr>
        <w:tc>
          <w:tcPr>
            <w:cnfStyle w:val="001000000000"/>
            <w:tcW w:w="0" w:type="auto"/>
            <w:tcBorders>
              <w:top w:val="nil"/>
              <w:bottom w:val="nil"/>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小型基金</w:t>
            </w:r>
          </w:p>
        </w:tc>
        <w:tc>
          <w:tcPr>
            <w:tcW w:w="0" w:type="auto"/>
            <w:tcBorders>
              <w:top w:val="nil"/>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594788</w:t>
            </w:r>
          </w:p>
        </w:tc>
        <w:tc>
          <w:tcPr>
            <w:tcW w:w="0" w:type="auto"/>
            <w:tcBorders>
              <w:top w:val="nil"/>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7231</w:t>
            </w:r>
          </w:p>
        </w:tc>
        <w:tc>
          <w:tcPr>
            <w:tcW w:w="0" w:type="auto"/>
            <w:tcBorders>
              <w:top w:val="nil"/>
              <w:bottom w:val="nil"/>
            </w:tcBorders>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0.0122</w:t>
            </w:r>
          </w:p>
        </w:tc>
        <w:tc>
          <w:tcPr>
            <w:tcW w:w="0" w:type="auto"/>
            <w:tcBorders>
              <w:top w:val="nil"/>
              <w:bottom w:val="nil"/>
            </w:tcBorders>
            <w:shd w:val="clear" w:color="auto" w:fill="auto"/>
            <w:vAlign w:val="bottom"/>
          </w:tcPr>
          <w:p w:rsidR="00B346B1" w:rsidRPr="009C0DF1" w:rsidRDefault="00B346B1" w:rsidP="00D25A6A">
            <w:pPr>
              <w:jc w:val="right"/>
              <w:cnfStyle w:val="000000100000"/>
              <w:rPr>
                <w:color w:val="000000"/>
                <w:szCs w:val="21"/>
              </w:rPr>
            </w:pPr>
            <w:r w:rsidRPr="009C0DF1">
              <w:rPr>
                <w:rFonts w:hint="eastAsia"/>
                <w:color w:val="000000"/>
                <w:szCs w:val="21"/>
              </w:rPr>
              <w:t>109.2</w:t>
            </w:r>
          </w:p>
        </w:tc>
      </w:tr>
      <w:tr w:rsidR="00B346B1" w:rsidRPr="009C0DF1" w:rsidTr="002D7C5A">
        <w:trPr>
          <w:trHeight w:val="270"/>
          <w:jc w:val="center"/>
        </w:trPr>
        <w:tc>
          <w:tcPr>
            <w:cnfStyle w:val="001000000000"/>
            <w:tcW w:w="0" w:type="auto"/>
            <w:tcBorders>
              <w:top w:val="nil"/>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其他</w:t>
            </w:r>
          </w:p>
        </w:tc>
        <w:tc>
          <w:tcPr>
            <w:tcW w:w="0" w:type="auto"/>
            <w:tcBorders>
              <w:top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19</w:t>
            </w:r>
          </w:p>
        </w:tc>
        <w:tc>
          <w:tcPr>
            <w:tcW w:w="0" w:type="auto"/>
            <w:tcBorders>
              <w:top w:val="nil"/>
            </w:tcBorders>
            <w:shd w:val="clear" w:color="auto" w:fill="auto"/>
            <w:noWrap/>
            <w:hideMark/>
          </w:tcPr>
          <w:p w:rsidR="00B346B1" w:rsidRPr="00E527A2" w:rsidRDefault="00B346B1" w:rsidP="00D25A6A">
            <w:pPr>
              <w:widowControl/>
              <w:jc w:val="right"/>
              <w:cnfStyle w:val="000000000000"/>
              <w:rPr>
                <w:rFonts w:ascii="宋体" w:eastAsia="宋体" w:hAnsi="宋体" w:cs="宋体"/>
                <w:color w:val="000000"/>
                <w:kern w:val="0"/>
                <w:szCs w:val="21"/>
              </w:rPr>
            </w:pPr>
            <w:r w:rsidRPr="00E527A2">
              <w:rPr>
                <w:rFonts w:ascii="宋体" w:eastAsia="宋体" w:hAnsi="宋体" w:cs="宋体" w:hint="eastAsia"/>
                <w:color w:val="000000"/>
                <w:kern w:val="0"/>
                <w:szCs w:val="21"/>
              </w:rPr>
              <w:t>1950</w:t>
            </w:r>
          </w:p>
        </w:tc>
        <w:tc>
          <w:tcPr>
            <w:tcW w:w="0" w:type="auto"/>
            <w:tcBorders>
              <w:top w:val="nil"/>
            </w:tcBorders>
            <w:shd w:val="clear" w:color="auto" w:fill="auto"/>
            <w:noWrap/>
            <w:vAlign w:val="bottom"/>
            <w:hideMark/>
          </w:tcPr>
          <w:p w:rsidR="00B346B1" w:rsidRPr="009C0DF1" w:rsidRDefault="00B346B1" w:rsidP="00D25A6A">
            <w:pPr>
              <w:widowControl/>
              <w:jc w:val="right"/>
              <w:cnfStyle w:val="000000000000"/>
              <w:rPr>
                <w:color w:val="000000"/>
                <w:szCs w:val="21"/>
              </w:rPr>
            </w:pPr>
            <w:r w:rsidRPr="009C0DF1">
              <w:rPr>
                <w:rFonts w:hint="eastAsia"/>
                <w:color w:val="000000"/>
                <w:szCs w:val="21"/>
              </w:rPr>
              <w:t>102.63</w:t>
            </w:r>
          </w:p>
        </w:tc>
        <w:tc>
          <w:tcPr>
            <w:tcW w:w="0" w:type="auto"/>
            <w:tcBorders>
              <w:top w:val="nil"/>
            </w:tcBorders>
            <w:shd w:val="clear" w:color="auto" w:fill="auto"/>
            <w:vAlign w:val="bottom"/>
          </w:tcPr>
          <w:p w:rsidR="00B346B1" w:rsidRPr="009C0DF1" w:rsidRDefault="00B346B1" w:rsidP="00D25A6A">
            <w:pPr>
              <w:jc w:val="right"/>
              <w:cnfStyle w:val="000000000000"/>
              <w:rPr>
                <w:color w:val="000000"/>
                <w:szCs w:val="21"/>
              </w:rPr>
            </w:pPr>
          </w:p>
        </w:tc>
      </w:tr>
      <w:tr w:rsidR="00B346B1" w:rsidRPr="009C0DF1" w:rsidTr="00BB32A0">
        <w:trPr>
          <w:cnfStyle w:val="000000100000"/>
          <w:trHeight w:val="270"/>
          <w:jc w:val="center"/>
        </w:trPr>
        <w:tc>
          <w:tcPr>
            <w:cnfStyle w:val="001000000000"/>
            <w:tcW w:w="0" w:type="auto"/>
            <w:tcBorders>
              <w:right w:val="none" w:sz="0" w:space="0" w:color="auto"/>
            </w:tcBorders>
            <w:shd w:val="clear" w:color="auto" w:fill="auto"/>
            <w:noWrap/>
            <w:hideMark/>
          </w:tcPr>
          <w:p w:rsidR="00B346B1" w:rsidRPr="00E527A2" w:rsidRDefault="00B346B1" w:rsidP="00D25A6A">
            <w:pPr>
              <w:widowControl/>
              <w:jc w:val="left"/>
              <w:rPr>
                <w:rFonts w:ascii="宋体" w:eastAsia="宋体" w:hAnsi="宋体" w:cs="宋体"/>
                <w:color w:val="000000"/>
                <w:kern w:val="0"/>
                <w:szCs w:val="21"/>
              </w:rPr>
            </w:pPr>
            <w:r w:rsidRPr="00E527A2">
              <w:rPr>
                <w:rFonts w:ascii="宋体" w:eastAsia="宋体" w:hAnsi="宋体" w:cs="宋体" w:hint="eastAsia"/>
                <w:color w:val="000000"/>
                <w:kern w:val="0"/>
                <w:szCs w:val="21"/>
              </w:rPr>
              <w:t>合计</w:t>
            </w:r>
          </w:p>
        </w:tc>
        <w:tc>
          <w:tcPr>
            <w:tcW w:w="0" w:type="auto"/>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595014</w:t>
            </w:r>
          </w:p>
        </w:tc>
        <w:tc>
          <w:tcPr>
            <w:tcW w:w="0" w:type="auto"/>
            <w:shd w:val="clear" w:color="auto" w:fill="auto"/>
            <w:noWrap/>
            <w:hideMark/>
          </w:tcPr>
          <w:p w:rsidR="00B346B1" w:rsidRPr="00E527A2" w:rsidRDefault="00B346B1" w:rsidP="00D25A6A">
            <w:pPr>
              <w:widowControl/>
              <w:jc w:val="right"/>
              <w:cnfStyle w:val="000000100000"/>
              <w:rPr>
                <w:rFonts w:ascii="宋体" w:eastAsia="宋体" w:hAnsi="宋体" w:cs="宋体"/>
                <w:color w:val="000000"/>
                <w:kern w:val="0"/>
                <w:szCs w:val="21"/>
              </w:rPr>
            </w:pPr>
            <w:r w:rsidRPr="00E527A2">
              <w:rPr>
                <w:rFonts w:ascii="宋体" w:eastAsia="宋体" w:hAnsi="宋体" w:cs="宋体" w:hint="eastAsia"/>
                <w:color w:val="000000"/>
                <w:kern w:val="0"/>
                <w:szCs w:val="21"/>
              </w:rPr>
              <w:t>26145</w:t>
            </w:r>
          </w:p>
        </w:tc>
        <w:tc>
          <w:tcPr>
            <w:tcW w:w="0" w:type="auto"/>
            <w:shd w:val="clear" w:color="auto" w:fill="auto"/>
            <w:noWrap/>
            <w:vAlign w:val="bottom"/>
            <w:hideMark/>
          </w:tcPr>
          <w:p w:rsidR="00B346B1" w:rsidRPr="009C0DF1" w:rsidRDefault="00B346B1" w:rsidP="00D25A6A">
            <w:pPr>
              <w:jc w:val="right"/>
              <w:cnfStyle w:val="000000100000"/>
              <w:rPr>
                <w:rFonts w:ascii="宋体" w:eastAsia="宋体" w:hAnsi="宋体" w:cs="宋体"/>
                <w:color w:val="000000"/>
                <w:szCs w:val="21"/>
              </w:rPr>
            </w:pPr>
            <w:r w:rsidRPr="009C0DF1">
              <w:rPr>
                <w:rFonts w:hint="eastAsia"/>
                <w:color w:val="000000"/>
                <w:szCs w:val="21"/>
              </w:rPr>
              <w:t>0.0439</w:t>
            </w:r>
          </w:p>
        </w:tc>
        <w:tc>
          <w:tcPr>
            <w:tcW w:w="0" w:type="auto"/>
            <w:shd w:val="clear" w:color="auto" w:fill="auto"/>
            <w:vAlign w:val="bottom"/>
          </w:tcPr>
          <w:p w:rsidR="00B346B1" w:rsidRPr="009C0DF1" w:rsidRDefault="00B346B1" w:rsidP="00D25A6A">
            <w:pPr>
              <w:jc w:val="right"/>
              <w:cnfStyle w:val="000000100000"/>
              <w:rPr>
                <w:color w:val="000000"/>
                <w:szCs w:val="21"/>
              </w:rPr>
            </w:pPr>
            <w:r w:rsidRPr="009C0DF1">
              <w:rPr>
                <w:rFonts w:hint="eastAsia"/>
                <w:color w:val="000000"/>
                <w:szCs w:val="21"/>
              </w:rPr>
              <w:t>2906.2</w:t>
            </w:r>
          </w:p>
        </w:tc>
      </w:tr>
    </w:tbl>
    <w:p w:rsidR="00BB32A0" w:rsidRDefault="00B346B1" w:rsidP="00B346B1">
      <w:pPr>
        <w:ind w:firstLine="420"/>
        <w:rPr>
          <w:sz w:val="18"/>
          <w:szCs w:val="18"/>
        </w:rPr>
      </w:pPr>
      <w:r w:rsidRPr="009C0DF1">
        <w:rPr>
          <w:rFonts w:hint="eastAsia"/>
          <w:sz w:val="18"/>
          <w:szCs w:val="18"/>
        </w:rPr>
        <w:t>注</w:t>
      </w:r>
      <w:r w:rsidRPr="009C0DF1">
        <w:rPr>
          <w:sz w:val="18"/>
          <w:szCs w:val="18"/>
        </w:rPr>
        <w:t>：</w:t>
      </w:r>
      <w:r w:rsidR="00BB32A0" w:rsidRPr="009C0DF1">
        <w:rPr>
          <w:rFonts w:hint="eastAsia"/>
          <w:sz w:val="18"/>
          <w:szCs w:val="18"/>
        </w:rPr>
        <w:t>管理</w:t>
      </w:r>
      <w:r w:rsidR="00BB32A0" w:rsidRPr="009C0DF1">
        <w:rPr>
          <w:sz w:val="18"/>
          <w:szCs w:val="18"/>
        </w:rPr>
        <w:t>账户数</w:t>
      </w:r>
      <w:r w:rsidR="00BB32A0" w:rsidRPr="009C0DF1">
        <w:rPr>
          <w:rFonts w:hint="eastAsia"/>
          <w:sz w:val="18"/>
          <w:szCs w:val="18"/>
        </w:rPr>
        <w:t>截至</w:t>
      </w:r>
      <w:r w:rsidR="00BB32A0" w:rsidRPr="009C0DF1">
        <w:rPr>
          <w:rFonts w:hint="eastAsia"/>
          <w:sz w:val="18"/>
          <w:szCs w:val="18"/>
        </w:rPr>
        <w:t>2016</w:t>
      </w:r>
      <w:r w:rsidR="00BB32A0" w:rsidRPr="009C0DF1">
        <w:rPr>
          <w:rFonts w:hint="eastAsia"/>
          <w:sz w:val="18"/>
          <w:szCs w:val="18"/>
        </w:rPr>
        <w:t>年</w:t>
      </w:r>
      <w:r w:rsidR="00BB32A0" w:rsidRPr="009C0DF1">
        <w:rPr>
          <w:rFonts w:hint="eastAsia"/>
          <w:sz w:val="18"/>
          <w:szCs w:val="18"/>
        </w:rPr>
        <w:t>6</w:t>
      </w:r>
      <w:r w:rsidR="00BB32A0" w:rsidRPr="009C0DF1">
        <w:rPr>
          <w:rFonts w:hint="eastAsia"/>
          <w:sz w:val="18"/>
          <w:szCs w:val="18"/>
        </w:rPr>
        <w:t>月</w:t>
      </w:r>
      <w:r w:rsidR="00BB32A0" w:rsidRPr="009C0DF1">
        <w:rPr>
          <w:rFonts w:hint="eastAsia"/>
          <w:sz w:val="18"/>
          <w:szCs w:val="18"/>
        </w:rPr>
        <w:t>30</w:t>
      </w:r>
      <w:r w:rsidR="00BB32A0" w:rsidRPr="009C0DF1">
        <w:rPr>
          <w:rFonts w:hint="eastAsia"/>
          <w:sz w:val="18"/>
          <w:szCs w:val="18"/>
        </w:rPr>
        <w:t>日</w:t>
      </w:r>
    </w:p>
    <w:p w:rsidR="00B346B1" w:rsidRPr="009C0DF1" w:rsidRDefault="00BB32A0" w:rsidP="00BB32A0">
      <w:pPr>
        <w:ind w:firstLine="420"/>
        <w:rPr>
          <w:sz w:val="18"/>
          <w:szCs w:val="18"/>
        </w:rPr>
      </w:pPr>
      <w:r>
        <w:rPr>
          <w:rFonts w:hint="eastAsia"/>
          <w:sz w:val="18"/>
          <w:szCs w:val="18"/>
        </w:rPr>
        <w:t>资料</w:t>
      </w:r>
      <w:r w:rsidR="00B346B1" w:rsidRPr="009C0DF1">
        <w:rPr>
          <w:sz w:val="18"/>
          <w:szCs w:val="18"/>
        </w:rPr>
        <w:t>来源</w:t>
      </w:r>
      <w:r w:rsidR="00B346B1" w:rsidRPr="009C0DF1">
        <w:rPr>
          <w:rFonts w:hint="eastAsia"/>
          <w:sz w:val="18"/>
          <w:szCs w:val="18"/>
        </w:rPr>
        <w:t>：</w:t>
      </w:r>
      <w:r w:rsidR="00B346B1" w:rsidRPr="009C0DF1">
        <w:rPr>
          <w:sz w:val="18"/>
          <w:szCs w:val="18"/>
        </w:rPr>
        <w:t>Quarterly MySuper Statistics DEC 2017</w:t>
      </w:r>
      <w:r w:rsidR="00B346B1" w:rsidRPr="009C0DF1">
        <w:rPr>
          <w:rFonts w:hint="eastAsia"/>
          <w:sz w:val="18"/>
          <w:szCs w:val="18"/>
        </w:rPr>
        <w:t>，</w:t>
      </w:r>
      <w:r w:rsidR="00B346B1" w:rsidRPr="009C0DF1">
        <w:rPr>
          <w:sz w:val="18"/>
          <w:szCs w:val="18"/>
        </w:rPr>
        <w:t>Annual Superannuation Bulletin June 2016</w:t>
      </w:r>
      <w:r>
        <w:rPr>
          <w:rFonts w:hint="eastAsia"/>
          <w:sz w:val="18"/>
          <w:szCs w:val="18"/>
        </w:rPr>
        <w:t>。</w:t>
      </w:r>
    </w:p>
    <w:p w:rsidR="00B346B1" w:rsidRDefault="00B346B1" w:rsidP="00B346B1">
      <w:r>
        <w:tab/>
      </w:r>
    </w:p>
    <w:p w:rsidR="002D7C5A" w:rsidRDefault="00B346B1" w:rsidP="00B346B1">
      <w:r>
        <w:rPr>
          <w:rFonts w:hint="eastAsia"/>
        </w:rPr>
        <w:t>随着</w:t>
      </w:r>
      <w:r>
        <w:t>超级年金整体规模的不断扩大，</w:t>
      </w:r>
      <w:r>
        <w:rPr>
          <w:rFonts w:hint="eastAsia"/>
        </w:rPr>
        <w:t>各类</w:t>
      </w:r>
      <w:r>
        <w:t>基金的规模也迅速增长</w:t>
      </w:r>
      <w:r w:rsidR="00E95371">
        <w:rPr>
          <w:rFonts w:hint="eastAsia"/>
        </w:rPr>
        <w:t>，</w:t>
      </w:r>
      <w:r>
        <w:t>但是</w:t>
      </w:r>
      <w:r>
        <w:rPr>
          <w:rFonts w:hint="eastAsia"/>
        </w:rPr>
        <w:t>从</w:t>
      </w:r>
      <w:r>
        <w:t>数量上看却显示出不同的发展趋势</w:t>
      </w:r>
      <w:r w:rsidR="00E95371">
        <w:rPr>
          <w:rFonts w:hint="eastAsia"/>
        </w:rPr>
        <w:t>。</w:t>
      </w:r>
      <w:r w:rsidR="0032034F">
        <w:rPr>
          <w:rFonts w:hint="eastAsia"/>
          <w:noProof/>
        </w:rPr>
        <w:t>2</w:t>
      </w:r>
      <w:r w:rsidR="0032034F">
        <w:rPr>
          <w:noProof/>
        </w:rPr>
        <w:t>004-2016</w:t>
      </w:r>
      <w:r w:rsidR="0032034F">
        <w:rPr>
          <w:noProof/>
        </w:rPr>
        <w:t>年</w:t>
      </w:r>
      <w:r w:rsidR="0032034F">
        <w:rPr>
          <w:rFonts w:hint="eastAsia"/>
          <w:noProof/>
        </w:rPr>
        <w:t>期间</w:t>
      </w:r>
      <w:r>
        <w:t>除小型基金的数量大幅增加以外，</w:t>
      </w:r>
      <w:r>
        <w:rPr>
          <w:rFonts w:hint="eastAsia"/>
        </w:rPr>
        <w:t>其他</w:t>
      </w:r>
      <w:r>
        <w:t>四类基金</w:t>
      </w:r>
      <w:r>
        <w:rPr>
          <w:rFonts w:hint="eastAsia"/>
        </w:rPr>
        <w:t>都</w:t>
      </w:r>
      <w:r>
        <w:t>有不同程度的</w:t>
      </w:r>
      <w:r>
        <w:rPr>
          <w:rFonts w:hint="eastAsia"/>
        </w:rPr>
        <w:t>减少</w:t>
      </w:r>
      <w:r>
        <w:t>，公司基金</w:t>
      </w:r>
      <w:r>
        <w:rPr>
          <w:rFonts w:hint="eastAsia"/>
        </w:rPr>
        <w:t>更是从</w:t>
      </w:r>
      <w:r>
        <w:rPr>
          <w:rFonts w:hint="eastAsia"/>
        </w:rPr>
        <w:t>2004</w:t>
      </w:r>
      <w:r>
        <w:rPr>
          <w:rFonts w:hint="eastAsia"/>
        </w:rPr>
        <w:t>年</w:t>
      </w:r>
      <w:r>
        <w:t>的</w:t>
      </w:r>
      <w:r>
        <w:rPr>
          <w:rFonts w:hint="eastAsia"/>
        </w:rPr>
        <w:t>1089</w:t>
      </w:r>
      <w:r>
        <w:rPr>
          <w:rFonts w:hint="eastAsia"/>
        </w:rPr>
        <w:t>个</w:t>
      </w:r>
      <w:r>
        <w:t>迅速减少到</w:t>
      </w:r>
      <w:r>
        <w:rPr>
          <w:rFonts w:hint="eastAsia"/>
        </w:rPr>
        <w:t>201</w:t>
      </w:r>
      <w:r>
        <w:t>6</w:t>
      </w:r>
      <w:r>
        <w:rPr>
          <w:rFonts w:hint="eastAsia"/>
        </w:rPr>
        <w:t>年</w:t>
      </w:r>
      <w:r>
        <w:t>的</w:t>
      </w:r>
      <w:r>
        <w:rPr>
          <w:rFonts w:hint="eastAsia"/>
        </w:rPr>
        <w:t>30</w:t>
      </w:r>
      <w:r>
        <w:rPr>
          <w:rFonts w:hint="eastAsia"/>
        </w:rPr>
        <w:t>个</w:t>
      </w:r>
      <w:r>
        <w:t>。</w:t>
      </w:r>
      <w:r>
        <w:rPr>
          <w:rFonts w:hint="eastAsia"/>
        </w:rPr>
        <w:t>许多</w:t>
      </w:r>
      <w:r>
        <w:t>公司基金都转为了行业基金或零售基金，</w:t>
      </w:r>
      <w:r>
        <w:rPr>
          <w:rFonts w:hint="eastAsia"/>
        </w:rPr>
        <w:t>这种</w:t>
      </w:r>
      <w:r>
        <w:t>行为可能基于以下</w:t>
      </w:r>
      <w:r w:rsidR="00CB54AA">
        <w:rPr>
          <w:rFonts w:hint="eastAsia"/>
        </w:rPr>
        <w:t>原因</w:t>
      </w:r>
      <w:r>
        <w:t>：</w:t>
      </w:r>
      <w:r w:rsidR="00BB32A0">
        <w:rPr>
          <w:rFonts w:ascii="宋体" w:eastAsia="宋体" w:hAnsi="宋体" w:hint="eastAsia"/>
        </w:rPr>
        <w:t>①</w:t>
      </w:r>
      <w:r>
        <w:t>减少公司运营成本；</w:t>
      </w:r>
      <w:r w:rsidR="00BB32A0">
        <w:rPr>
          <w:rFonts w:ascii="宋体" w:eastAsia="宋体" w:hAnsi="宋体" w:hint="eastAsia"/>
        </w:rPr>
        <w:t>②</w:t>
      </w:r>
      <w:r>
        <w:t>更加专业</w:t>
      </w:r>
      <w:r>
        <w:rPr>
          <w:rFonts w:hint="eastAsia"/>
        </w:rPr>
        <w:t>和</w:t>
      </w:r>
      <w:r>
        <w:t>广泛的投资选择；</w:t>
      </w:r>
      <w:r w:rsidR="00BB32A0" w:rsidRPr="00BB32A0">
        <w:rPr>
          <w:rFonts w:ascii="宋体" w:eastAsia="宋体" w:hAnsi="宋体"/>
        </w:rPr>
        <w:t>③</w:t>
      </w:r>
      <w:r>
        <w:rPr>
          <w:rFonts w:hint="eastAsia"/>
        </w:rPr>
        <w:t>规模</w:t>
      </w:r>
      <w:r>
        <w:t>效应减少成本</w:t>
      </w:r>
      <w:r w:rsidR="00BB32A0">
        <w:rPr>
          <w:rFonts w:hint="eastAsia"/>
        </w:rPr>
        <w:t>。零售</w:t>
      </w:r>
      <w:r>
        <w:t>基金</w:t>
      </w:r>
      <w:r w:rsidR="003B30C8">
        <w:rPr>
          <w:rFonts w:hint="eastAsia"/>
        </w:rPr>
        <w:t>、</w:t>
      </w:r>
      <w:r>
        <w:t>行业基金也有一定程度的减少，这主要是因为</w:t>
      </w:r>
      <w:r>
        <w:rPr>
          <w:rFonts w:hint="eastAsia"/>
        </w:rPr>
        <w:t>公司合并</w:t>
      </w:r>
      <w:r>
        <w:t>和兼并的结果，</w:t>
      </w:r>
      <w:r>
        <w:rPr>
          <w:rFonts w:hint="eastAsia"/>
        </w:rPr>
        <w:t>例如</w:t>
      </w:r>
      <w:r>
        <w:t>AMP</w:t>
      </w:r>
      <w:r>
        <w:t>和</w:t>
      </w:r>
      <w:r>
        <w:t>AXA Asia</w:t>
      </w:r>
      <w:r>
        <w:t>、</w:t>
      </w:r>
      <w:r>
        <w:t>First State Super</w:t>
      </w:r>
      <w:r>
        <w:t>和</w:t>
      </w:r>
      <w:r>
        <w:t>Health Super</w:t>
      </w:r>
      <w:r w:rsidR="00CB54AA">
        <w:rPr>
          <w:rFonts w:hint="eastAsia"/>
        </w:rPr>
        <w:t>等</w:t>
      </w:r>
      <w:r w:rsidR="00CB54AA">
        <w:t>大型</w:t>
      </w:r>
      <w:r w:rsidR="00E95371">
        <w:rPr>
          <w:rFonts w:hint="eastAsia"/>
        </w:rPr>
        <w:t>机构</w:t>
      </w:r>
      <w:r w:rsidR="00E95371">
        <w:t>的</w:t>
      </w:r>
      <w:r w:rsidR="00CB54AA">
        <w:t>并购</w:t>
      </w:r>
      <w:r>
        <w:t>。</w:t>
      </w:r>
      <w:r>
        <w:rPr>
          <w:rFonts w:hint="eastAsia"/>
        </w:rPr>
        <w:t>与</w:t>
      </w:r>
      <w:r>
        <w:t>之相</w:t>
      </w:r>
      <w:r w:rsidR="00B86EB2">
        <w:rPr>
          <w:rFonts w:hint="eastAsia"/>
        </w:rPr>
        <w:t>对</w:t>
      </w:r>
      <w:r>
        <w:t>的是小型基金</w:t>
      </w:r>
      <w:r>
        <w:rPr>
          <w:rFonts w:hint="eastAsia"/>
        </w:rPr>
        <w:t>特别</w:t>
      </w:r>
      <w:r>
        <w:t>是自营型基金在澳大利亚</w:t>
      </w:r>
      <w:r>
        <w:rPr>
          <w:rFonts w:hint="eastAsia"/>
        </w:rPr>
        <w:t>大受欢迎</w:t>
      </w:r>
      <w:r w:rsidR="00B86EB2">
        <w:rPr>
          <w:rFonts w:hint="eastAsia"/>
        </w:rPr>
        <w:t>。自营型</w:t>
      </w:r>
      <w:r w:rsidR="00B86EB2">
        <w:t>基金与</w:t>
      </w:r>
      <w:r>
        <w:t>机构管理的基金相比</w:t>
      </w:r>
      <w:r>
        <w:rPr>
          <w:rFonts w:hint="eastAsia"/>
        </w:rPr>
        <w:t>给予</w:t>
      </w:r>
      <w:r>
        <w:t>了成员更大的控制权</w:t>
      </w:r>
      <w:r w:rsidR="00B86EB2">
        <w:rPr>
          <w:rFonts w:hint="eastAsia"/>
        </w:rPr>
        <w:t>，</w:t>
      </w:r>
      <w:r>
        <w:rPr>
          <w:rFonts w:hint="eastAsia"/>
        </w:rPr>
        <w:t>管理</w:t>
      </w:r>
      <w:r>
        <w:t>费用</w:t>
      </w:r>
      <w:r w:rsidR="00B86EB2">
        <w:rPr>
          <w:rFonts w:hint="eastAsia"/>
        </w:rPr>
        <w:t>也</w:t>
      </w:r>
      <w:r>
        <w:t>低于机构管理的费用</w:t>
      </w:r>
      <w:r w:rsidR="00B86EB2">
        <w:rPr>
          <w:rFonts w:hint="eastAsia"/>
        </w:rPr>
        <w:t>，另外</w:t>
      </w:r>
      <w:r>
        <w:t>自营型基金能</w:t>
      </w:r>
      <w:r>
        <w:rPr>
          <w:rFonts w:hint="eastAsia"/>
        </w:rPr>
        <w:t>够</w:t>
      </w:r>
      <w:r>
        <w:t>提供更加有效的投资税收管理。</w:t>
      </w:r>
      <w:r>
        <w:rPr>
          <w:rFonts w:hint="eastAsia"/>
        </w:rPr>
        <w:t>澳大利亚超级</w:t>
      </w:r>
      <w:r>
        <w:t>年金的</w:t>
      </w:r>
      <w:r>
        <w:rPr>
          <w:rFonts w:hint="eastAsia"/>
        </w:rPr>
        <w:t>管理</w:t>
      </w:r>
      <w:r>
        <w:t>竞争非常激烈，</w:t>
      </w:r>
      <w:r w:rsidR="00950C7B">
        <w:rPr>
          <w:rFonts w:hint="eastAsia"/>
        </w:rPr>
        <w:t>从</w:t>
      </w:r>
      <w:r w:rsidR="00950C7B">
        <w:t>发展趋势上看来，</w:t>
      </w:r>
      <w:r>
        <w:t>行业集中度可能会进一步的提高</w:t>
      </w:r>
      <w:r>
        <w:rPr>
          <w:rFonts w:hint="eastAsia"/>
        </w:rPr>
        <w:t>。</w:t>
      </w:r>
    </w:p>
    <w:p w:rsidR="002D7C5A" w:rsidRPr="006C4ED4" w:rsidRDefault="002D7C5A" w:rsidP="002D7C5A">
      <w:pPr>
        <w:pStyle w:val="2"/>
        <w:rPr>
          <w:sz w:val="28"/>
          <w:szCs w:val="28"/>
        </w:rPr>
      </w:pPr>
      <w:r>
        <w:rPr>
          <w:rStyle w:val="2Char"/>
          <w:rFonts w:hint="eastAsia"/>
          <w:b/>
          <w:sz w:val="28"/>
          <w:szCs w:val="28"/>
        </w:rPr>
        <w:t>（二）</w:t>
      </w:r>
      <w:r w:rsidRPr="006C4ED4">
        <w:rPr>
          <w:rFonts w:hint="eastAsia"/>
          <w:sz w:val="28"/>
          <w:szCs w:val="28"/>
        </w:rPr>
        <w:t>澳大利亚</w:t>
      </w:r>
      <w:r w:rsidRPr="006C4ED4">
        <w:rPr>
          <w:sz w:val="28"/>
          <w:szCs w:val="28"/>
        </w:rPr>
        <w:t>超级年金</w:t>
      </w:r>
      <w:r w:rsidRPr="006C4ED4">
        <w:rPr>
          <w:rFonts w:hint="eastAsia"/>
          <w:sz w:val="28"/>
          <w:szCs w:val="28"/>
        </w:rPr>
        <w:t>的投资管理</w:t>
      </w:r>
    </w:p>
    <w:p w:rsidR="002D7C5A" w:rsidRDefault="002D7C5A" w:rsidP="002D7C5A">
      <w:r>
        <w:t>根据超级年金监管法的规定</w:t>
      </w:r>
      <w:r>
        <w:rPr>
          <w:rFonts w:hint="eastAsia"/>
        </w:rPr>
        <w:t>，澳大利亚</w:t>
      </w:r>
      <w:r>
        <w:t>超级</w:t>
      </w:r>
      <w:r>
        <w:rPr>
          <w:rFonts w:hint="eastAsia"/>
        </w:rPr>
        <w:t>年金</w:t>
      </w:r>
      <w:r>
        <w:t>的</w:t>
      </w:r>
      <w:r>
        <w:rPr>
          <w:rFonts w:hint="eastAsia"/>
        </w:rPr>
        <w:t>受托人</w:t>
      </w:r>
      <w:r>
        <w:t>必须是注册的超级年金实体（</w:t>
      </w:r>
      <w:r>
        <w:rPr>
          <w:rFonts w:hint="eastAsia"/>
        </w:rPr>
        <w:t>RSE</w:t>
      </w:r>
      <w:r>
        <w:t>持证人）</w:t>
      </w:r>
      <w:r>
        <w:rPr>
          <w:rFonts w:hint="eastAsia"/>
        </w:rPr>
        <w:t>。受托人委托</w:t>
      </w:r>
      <w:r>
        <w:t>投资管理</w:t>
      </w:r>
      <w:r>
        <w:rPr>
          <w:rFonts w:hint="eastAsia"/>
        </w:rPr>
        <w:t>人</w:t>
      </w:r>
      <w:r>
        <w:t>进行基金投资，</w:t>
      </w:r>
      <w:r>
        <w:rPr>
          <w:rFonts w:hint="eastAsia"/>
        </w:rPr>
        <w:t>除了</w:t>
      </w:r>
      <w:r>
        <w:t>小型自营型基金外，超级年金的投资管理人必须是法人</w:t>
      </w:r>
      <w:r>
        <w:rPr>
          <w:rFonts w:hint="eastAsia"/>
        </w:rPr>
        <w:t>机构。对于</w:t>
      </w:r>
      <w:r>
        <w:t>投资范围，</w:t>
      </w:r>
      <w:r>
        <w:rPr>
          <w:rFonts w:hint="eastAsia"/>
        </w:rPr>
        <w:t>超级</w:t>
      </w:r>
      <w:r>
        <w:t>年金监管法没有做出特别的规定，从超级年金</w:t>
      </w:r>
      <w:r w:rsidRPr="0032034F">
        <w:rPr>
          <w:rFonts w:hint="eastAsia"/>
        </w:rPr>
        <w:t>实际</w:t>
      </w:r>
      <w:r>
        <w:t>的投资策略和执行的投资</w:t>
      </w:r>
      <w:r>
        <w:rPr>
          <w:rFonts w:hint="eastAsia"/>
        </w:rPr>
        <w:t>操作</w:t>
      </w:r>
      <w:r>
        <w:t>来看，超级年金的投资范围十分广泛，既有</w:t>
      </w:r>
      <w:r>
        <w:rPr>
          <w:rFonts w:hint="eastAsia"/>
        </w:rPr>
        <w:t>股票</w:t>
      </w:r>
      <w:r>
        <w:t>、债券、</w:t>
      </w:r>
      <w:r>
        <w:lastRenderedPageBreak/>
        <w:t>现金类资产的投资，也有房地产、基础</w:t>
      </w:r>
      <w:r>
        <w:rPr>
          <w:rFonts w:hint="eastAsia"/>
        </w:rPr>
        <w:t>设施</w:t>
      </w:r>
      <w:r>
        <w:t>、商品期货和对冲基金的投资</w:t>
      </w:r>
      <w:r>
        <w:rPr>
          <w:rFonts w:hint="eastAsia"/>
        </w:rPr>
        <w:t>，</w:t>
      </w:r>
      <w:r>
        <w:t>涉及到了市场上大多数的投资工具。</w:t>
      </w:r>
      <w:r>
        <w:rPr>
          <w:rFonts w:hint="eastAsia"/>
        </w:rPr>
        <w:t>同时，</w:t>
      </w:r>
      <w:r>
        <w:t>超级年金</w:t>
      </w:r>
      <w:r>
        <w:rPr>
          <w:rFonts w:hint="eastAsia"/>
        </w:rPr>
        <w:t>允许</w:t>
      </w:r>
      <w:r>
        <w:t>进行海外投资。</w:t>
      </w:r>
    </w:p>
    <w:p w:rsidR="002D7C5A" w:rsidRDefault="002D7C5A" w:rsidP="00B346B1"/>
    <w:p w:rsidR="00B346B1" w:rsidRPr="00CA650C" w:rsidRDefault="006A7805" w:rsidP="00B346B1">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445135</wp:posOffset>
            </wp:positionV>
            <wp:extent cx="5274310" cy="260985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D632D" w:rsidDel="003D632D">
        <w:rPr>
          <w:rStyle w:val="a8"/>
        </w:rPr>
        <w:t xml:space="preserve"> </w:t>
      </w:r>
      <w:r w:rsidR="009D2541">
        <w:rPr>
          <w:noProof/>
        </w:rPr>
        <w:pict>
          <v:shapetype id="_x0000_t202" coordsize="21600,21600" o:spt="202" path="m,l,21600r21600,l21600,xe">
            <v:stroke joinstyle="miter"/>
            <v:path gradientshapeok="t" o:connecttype="rect"/>
          </v:shapetype>
          <v:shape id="文本框 12" o:spid="_x0000_s1026" type="#_x0000_t202" style="position:absolute;left:0;text-align:left;margin-left:0;margin-top:0;width:415.3pt;height:3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" stroked="f">
            <v:textbox style="mso-next-textbox:#文本框 12" inset="0,0,0,0">
              <w:txbxContent>
                <w:p w:rsidR="008804D1" w:rsidRDefault="008804D1" w:rsidP="004002FA">
                  <w:pPr>
                    <w:pStyle w:val="af"/>
                    <w:jc w:val="center"/>
                    <w:rPr>
                      <w:noProof/>
                    </w:rPr>
                  </w:pPr>
                  <w:r>
                    <w:rPr>
                      <w:rFonts w:hint="eastAsia"/>
                    </w:rPr>
                    <w:t>图</w:t>
                  </w:r>
                  <w:r>
                    <w:rPr>
                      <w:rFonts w:hint="eastAsia"/>
                    </w:rPr>
                    <w:t xml:space="preserve"> </w:t>
                  </w:r>
                  <w:r w:rsidR="009D2541">
                    <w:fldChar w:fldCharType="begin"/>
                  </w:r>
                  <w:r>
                    <w:instrText xml:space="preserve"> </w:instrText>
                  </w:r>
                  <w:r>
                    <w:rPr>
                      <w:rFonts w:hint="eastAsia"/>
                    </w:rPr>
                    <w:instrText xml:space="preserve">SEQ </w:instrText>
                  </w:r>
                  <w:r>
                    <w:rPr>
                      <w:rFonts w:hint="eastAsia"/>
                    </w:rPr>
                    <w:instrText>图</w:instrText>
                  </w:r>
                  <w:r>
                    <w:rPr>
                      <w:rFonts w:hint="eastAsia"/>
                    </w:rPr>
                    <w:instrText xml:space="preserve"> \* ARABIC</w:instrText>
                  </w:r>
                  <w:r>
                    <w:instrText xml:space="preserve"> </w:instrText>
                  </w:r>
                  <w:r w:rsidR="009D2541">
                    <w:fldChar w:fldCharType="separate"/>
                  </w:r>
                  <w:r>
                    <w:rPr>
                      <w:noProof/>
                    </w:rPr>
                    <w:t>2</w:t>
                  </w:r>
                  <w:r w:rsidR="009D2541">
                    <w:fldChar w:fldCharType="end"/>
                  </w:r>
                  <w:r>
                    <w:rPr>
                      <w:rFonts w:hint="eastAsia"/>
                    </w:rPr>
                    <w:t>澳大利亚</w:t>
                  </w:r>
                  <w:r>
                    <w:t>超级年金基金发展趋势</w:t>
                  </w:r>
                </w:p>
              </w:txbxContent>
            </v:textbox>
            <w10:wrap type="topAndBottom"/>
          </v:shape>
        </w:pict>
      </w:r>
      <w:bookmarkStart w:id="1" w:name="_Hlk518234665"/>
      <w:bookmarkEnd w:id="1"/>
      <w:r w:rsidR="00950C7B">
        <w:rPr>
          <w:rFonts w:hint="eastAsia"/>
        </w:rPr>
        <w:t>资料</w:t>
      </w:r>
      <w:r w:rsidR="00B346B1">
        <w:t>来源：</w:t>
      </w:r>
      <w:r w:rsidR="00B346B1" w:rsidRPr="009C0DF1">
        <w:rPr>
          <w:sz w:val="18"/>
          <w:szCs w:val="18"/>
        </w:rPr>
        <w:t>Annual Superannuation Bulletin June 2016</w:t>
      </w:r>
      <w:r w:rsidR="00950C7B">
        <w:rPr>
          <w:rFonts w:hint="eastAsia"/>
          <w:sz w:val="18"/>
          <w:szCs w:val="18"/>
        </w:rPr>
        <w:t>。</w:t>
      </w:r>
    </w:p>
    <w:p w:rsidR="00950C7B" w:rsidRDefault="00950C7B" w:rsidP="00950C7B"/>
    <w:p w:rsidR="00E90179" w:rsidRDefault="00E90179" w:rsidP="00950C7B">
      <w:r>
        <w:rPr>
          <w:rFonts w:hint="eastAsia"/>
        </w:rPr>
        <w:t>超级</w:t>
      </w:r>
      <w:r>
        <w:t>年金一般以</w:t>
      </w:r>
      <w:r>
        <w:rPr>
          <w:rFonts w:hint="eastAsia"/>
        </w:rPr>
        <w:t>超过</w:t>
      </w:r>
      <w:r>
        <w:t>CPI</w:t>
      </w:r>
      <w:r>
        <w:t>指数</w:t>
      </w:r>
      <w:r>
        <w:rPr>
          <w:rFonts w:hint="eastAsia"/>
        </w:rPr>
        <w:t>一定百分比</w:t>
      </w:r>
      <w:r>
        <w:t>作为</w:t>
      </w:r>
      <w:r>
        <w:rPr>
          <w:rFonts w:hint="eastAsia"/>
        </w:rPr>
        <w:t>投资</w:t>
      </w:r>
      <w:r>
        <w:t>目标，</w:t>
      </w:r>
      <w:r>
        <w:rPr>
          <w:rFonts w:hint="eastAsia"/>
        </w:rPr>
        <w:t>根据</w:t>
      </w:r>
      <w:r>
        <w:t>时间长短和客户能够承担的风险程度</w:t>
      </w:r>
      <w:r>
        <w:rPr>
          <w:rFonts w:hint="eastAsia"/>
        </w:rPr>
        <w:t>来</w:t>
      </w:r>
      <w:r>
        <w:t>具体区分超过</w:t>
      </w:r>
      <w:r>
        <w:t>CPI</w:t>
      </w:r>
      <w:r>
        <w:t>指数的多少，并</w:t>
      </w:r>
      <w:r>
        <w:rPr>
          <w:rFonts w:hint="eastAsia"/>
        </w:rPr>
        <w:t>以此</w:t>
      </w:r>
      <w:r>
        <w:t>作为投资风格的划分</w:t>
      </w:r>
      <w:r>
        <w:rPr>
          <w:rFonts w:hint="eastAsia"/>
        </w:rPr>
        <w:t>，</w:t>
      </w:r>
      <w:r>
        <w:t>再根据不同的投资风格进行大类资产配置。</w:t>
      </w:r>
      <w:r>
        <w:rPr>
          <w:rFonts w:hint="eastAsia"/>
        </w:rPr>
        <w:t>以澳大利亚</w:t>
      </w:r>
      <w:r>
        <w:t>最大的超级年金管理</w:t>
      </w:r>
      <w:r>
        <w:rPr>
          <w:rFonts w:hint="eastAsia"/>
        </w:rPr>
        <w:t>公司</w:t>
      </w:r>
      <w:r w:rsidRPr="003A0A57">
        <w:t>AustralianSuper Pty Ltd</w:t>
      </w:r>
      <w:r>
        <w:rPr>
          <w:rFonts w:hint="eastAsia"/>
        </w:rPr>
        <w:t>为例，它们</w:t>
      </w:r>
      <w:r>
        <w:t>将投资</w:t>
      </w:r>
      <w:r>
        <w:rPr>
          <w:rFonts w:hint="eastAsia"/>
        </w:rPr>
        <w:t>风格</w:t>
      </w:r>
      <w:r>
        <w:t>划分为不同的六种类型，</w:t>
      </w:r>
      <w:r>
        <w:rPr>
          <w:rFonts w:hint="eastAsia"/>
        </w:rPr>
        <w:t>并</w:t>
      </w:r>
      <w:r>
        <w:t>在不同的</w:t>
      </w:r>
      <w:r>
        <w:rPr>
          <w:rFonts w:hint="eastAsia"/>
        </w:rPr>
        <w:t>风格</w:t>
      </w:r>
      <w:r>
        <w:t>下给出了</w:t>
      </w:r>
      <w:r>
        <w:rPr>
          <w:rFonts w:hint="eastAsia"/>
        </w:rPr>
        <w:t>资产</w:t>
      </w:r>
      <w:r>
        <w:t>配置建议方案。</w:t>
      </w:r>
      <w:r>
        <w:rPr>
          <w:rFonts w:hint="eastAsia"/>
        </w:rPr>
        <w:t>这</w:t>
      </w:r>
      <w:r>
        <w:t>六种类型</w:t>
      </w:r>
      <w:r>
        <w:rPr>
          <w:rFonts w:hint="eastAsia"/>
        </w:rPr>
        <w:t>包括平衡型</w:t>
      </w:r>
      <w:r>
        <w:t>、高增长</w:t>
      </w:r>
      <w:r>
        <w:rPr>
          <w:rFonts w:hint="eastAsia"/>
        </w:rPr>
        <w:t>型</w:t>
      </w:r>
      <w:r>
        <w:t>、社会</w:t>
      </w:r>
      <w:r w:rsidR="00102624">
        <w:rPr>
          <w:rFonts w:hint="eastAsia"/>
        </w:rPr>
        <w:t>责任</w:t>
      </w:r>
      <w:r>
        <w:t>型</w:t>
      </w:r>
      <w:r w:rsidR="00102624">
        <w:rPr>
          <w:rFonts w:hint="eastAsia"/>
        </w:rPr>
        <w:t>（</w:t>
      </w:r>
      <w:r w:rsidR="00102624">
        <w:rPr>
          <w:rFonts w:hint="eastAsia"/>
        </w:rPr>
        <w:t>ESG</w:t>
      </w:r>
      <w:r w:rsidR="00102624">
        <w:rPr>
          <w:rFonts w:hint="eastAsia"/>
        </w:rPr>
        <w:t>）</w:t>
      </w:r>
      <w:r>
        <w:t>、指数型、保守</w:t>
      </w:r>
      <w:r>
        <w:rPr>
          <w:rFonts w:hint="eastAsia"/>
        </w:rPr>
        <w:t>平衡型</w:t>
      </w:r>
      <w:r>
        <w:t>和</w:t>
      </w:r>
      <w:r>
        <w:rPr>
          <w:rFonts w:hint="eastAsia"/>
        </w:rPr>
        <w:t>稳健</w:t>
      </w:r>
      <w:r>
        <w:t>收益型</w:t>
      </w:r>
      <w:r w:rsidR="00950C7B">
        <w:rPr>
          <w:rFonts w:hint="eastAsia"/>
        </w:rPr>
        <w:t>（见表</w:t>
      </w:r>
      <w:r w:rsidR="00950C7B">
        <w:rPr>
          <w:rFonts w:hint="eastAsia"/>
        </w:rPr>
        <w:t>5</w:t>
      </w:r>
      <w:r w:rsidR="00950C7B">
        <w:rPr>
          <w:rFonts w:hint="eastAsia"/>
        </w:rPr>
        <w:t>）</w:t>
      </w:r>
      <w:r>
        <w:rPr>
          <w:rFonts w:hint="eastAsia"/>
        </w:rPr>
        <w:t>。另外</w:t>
      </w:r>
      <w:r>
        <w:t>，公司也允许客户</w:t>
      </w:r>
      <w:r>
        <w:rPr>
          <w:rFonts w:hint="eastAsia"/>
        </w:rPr>
        <w:t>自主进行</w:t>
      </w:r>
      <w:r>
        <w:t>大类资产配置和选择投资</w:t>
      </w:r>
      <w:r>
        <w:rPr>
          <w:rFonts w:hint="eastAsia"/>
        </w:rPr>
        <w:t>品种，</w:t>
      </w:r>
      <w:r>
        <w:t>客户拥有极高的自由度。</w:t>
      </w:r>
    </w:p>
    <w:p w:rsidR="00950C7B" w:rsidRDefault="00950C7B" w:rsidP="00950C7B"/>
    <w:p w:rsidR="00E90179" w:rsidRPr="0035189F" w:rsidRDefault="00E90179" w:rsidP="00E90179">
      <w:pPr>
        <w:pStyle w:val="af"/>
        <w:keepNext/>
        <w:jc w:val="center"/>
        <w:rPr>
          <w:b/>
        </w:rPr>
      </w:pPr>
      <w:r w:rsidRPr="0035189F">
        <w:rPr>
          <w:rFonts w:hint="eastAsia"/>
          <w:b/>
        </w:rPr>
        <w:t>表</w:t>
      </w:r>
      <w:r w:rsidRPr="0035189F">
        <w:rPr>
          <w:rFonts w:hint="eastAsia"/>
          <w:b/>
        </w:rPr>
        <w:t xml:space="preserve"> </w:t>
      </w:r>
      <w:r w:rsidR="009D2541" w:rsidRPr="0035189F">
        <w:rPr>
          <w:b/>
        </w:rPr>
        <w:fldChar w:fldCharType="begin"/>
      </w:r>
      <w:r w:rsidRPr="0035189F">
        <w:rPr>
          <w:b/>
        </w:rPr>
        <w:instrText xml:space="preserve"> </w:instrText>
      </w:r>
      <w:r w:rsidRPr="0035189F">
        <w:rPr>
          <w:rFonts w:hint="eastAsia"/>
          <w:b/>
        </w:rPr>
        <w:instrText xml:space="preserve">SEQ </w:instrText>
      </w:r>
      <w:r w:rsidRPr="0035189F">
        <w:rPr>
          <w:rFonts w:hint="eastAsia"/>
          <w:b/>
        </w:rPr>
        <w:instrText>表</w:instrText>
      </w:r>
      <w:r w:rsidRPr="0035189F">
        <w:rPr>
          <w:rFonts w:hint="eastAsia"/>
          <w:b/>
        </w:rPr>
        <w:instrText xml:space="preserve"> \* ARABIC</w:instrText>
      </w:r>
      <w:r w:rsidRPr="0035189F">
        <w:rPr>
          <w:b/>
        </w:rPr>
        <w:instrText xml:space="preserve"> </w:instrText>
      </w:r>
      <w:r w:rsidR="009D2541" w:rsidRPr="0035189F">
        <w:rPr>
          <w:b/>
        </w:rPr>
        <w:fldChar w:fldCharType="separate"/>
      </w:r>
      <w:r w:rsidR="003559DA" w:rsidRPr="0035189F">
        <w:rPr>
          <w:b/>
          <w:noProof/>
        </w:rPr>
        <w:t>5</w:t>
      </w:r>
      <w:r w:rsidR="009D2541" w:rsidRPr="0035189F">
        <w:rPr>
          <w:b/>
        </w:rPr>
        <w:fldChar w:fldCharType="end"/>
      </w:r>
      <w:r w:rsidRPr="0035189F">
        <w:rPr>
          <w:rFonts w:hint="eastAsia"/>
          <w:b/>
        </w:rPr>
        <w:t>典型超级年金基金投资目标</w:t>
      </w:r>
      <w:r w:rsidRPr="0035189F">
        <w:rPr>
          <w:b/>
        </w:rPr>
        <w:t>与资产配置</w:t>
      </w:r>
    </w:p>
    <w:p w:rsidR="00950C7B" w:rsidRPr="00950C7B" w:rsidRDefault="00950C7B" w:rsidP="00950C7B">
      <w:pPr>
        <w:jc w:val="right"/>
      </w:pPr>
      <w:r>
        <w:rPr>
          <w:rFonts w:hint="eastAsia"/>
        </w:rPr>
        <w:t>单位：</w:t>
      </w:r>
      <w:r>
        <w:rPr>
          <w:rFonts w:hint="eastAsia"/>
        </w:rPr>
        <w:t>%</w:t>
      </w:r>
    </w:p>
    <w:tbl>
      <w:tblPr>
        <w:tblStyle w:val="ac"/>
        <w:tblW w:w="8931" w:type="dxa"/>
        <w:tblInd w:w="-176" w:type="dxa"/>
        <w:tblLook w:val="04A0"/>
      </w:tblPr>
      <w:tblGrid>
        <w:gridCol w:w="1361"/>
        <w:gridCol w:w="1185"/>
        <w:gridCol w:w="1185"/>
        <w:gridCol w:w="1185"/>
        <w:gridCol w:w="1185"/>
        <w:gridCol w:w="1185"/>
        <w:gridCol w:w="1645"/>
      </w:tblGrid>
      <w:tr w:rsidR="00E90179" w:rsidRPr="00785515" w:rsidTr="0035189F">
        <w:tc>
          <w:tcPr>
            <w:tcW w:w="8931" w:type="dxa"/>
            <w:gridSpan w:val="7"/>
          </w:tcPr>
          <w:p w:rsidR="00E90179" w:rsidRPr="00B346B1" w:rsidRDefault="00E90179" w:rsidP="004B5BAC">
            <w:pPr>
              <w:jc w:val="center"/>
              <w:rPr>
                <w:b/>
                <w:sz w:val="18"/>
                <w:szCs w:val="18"/>
              </w:rPr>
            </w:pPr>
            <w:r w:rsidRPr="00B346B1">
              <w:rPr>
                <w:rFonts w:hint="eastAsia"/>
                <w:b/>
                <w:sz w:val="18"/>
                <w:szCs w:val="18"/>
              </w:rPr>
              <w:t>投资目标</w:t>
            </w:r>
          </w:p>
        </w:tc>
      </w:tr>
      <w:tr w:rsidR="00E90179" w:rsidRPr="00785515" w:rsidTr="0035189F">
        <w:tc>
          <w:tcPr>
            <w:tcW w:w="1361" w:type="dxa"/>
          </w:tcPr>
          <w:p w:rsidR="00E90179" w:rsidRPr="00785515" w:rsidRDefault="00E90179" w:rsidP="004B5BAC">
            <w:pPr>
              <w:rPr>
                <w:sz w:val="18"/>
                <w:szCs w:val="18"/>
              </w:rPr>
            </w:pPr>
            <w:r w:rsidRPr="00785515">
              <w:rPr>
                <w:rFonts w:hint="eastAsia"/>
                <w:sz w:val="18"/>
                <w:szCs w:val="18"/>
              </w:rPr>
              <w:t>投资</w:t>
            </w:r>
            <w:r w:rsidRPr="00785515">
              <w:rPr>
                <w:sz w:val="18"/>
                <w:szCs w:val="18"/>
              </w:rPr>
              <w:t>风格</w:t>
            </w:r>
          </w:p>
        </w:tc>
        <w:tc>
          <w:tcPr>
            <w:tcW w:w="1185" w:type="dxa"/>
          </w:tcPr>
          <w:p w:rsidR="00E90179" w:rsidRPr="00785515" w:rsidRDefault="00E90179" w:rsidP="00950C7B">
            <w:pPr>
              <w:jc w:val="center"/>
              <w:rPr>
                <w:sz w:val="18"/>
                <w:szCs w:val="18"/>
              </w:rPr>
            </w:pPr>
            <w:r w:rsidRPr="00785515">
              <w:rPr>
                <w:rFonts w:hint="eastAsia"/>
                <w:sz w:val="18"/>
                <w:szCs w:val="18"/>
              </w:rPr>
              <w:t>平衡型</w:t>
            </w:r>
          </w:p>
        </w:tc>
        <w:tc>
          <w:tcPr>
            <w:tcW w:w="1185" w:type="dxa"/>
          </w:tcPr>
          <w:p w:rsidR="00E90179" w:rsidRPr="00785515" w:rsidRDefault="00E90179" w:rsidP="00950C7B">
            <w:pPr>
              <w:jc w:val="center"/>
              <w:rPr>
                <w:sz w:val="18"/>
                <w:szCs w:val="18"/>
              </w:rPr>
            </w:pPr>
            <w:r w:rsidRPr="00785515">
              <w:rPr>
                <w:rFonts w:hint="eastAsia"/>
                <w:sz w:val="18"/>
                <w:szCs w:val="18"/>
              </w:rPr>
              <w:t>高增长型</w:t>
            </w:r>
          </w:p>
        </w:tc>
        <w:tc>
          <w:tcPr>
            <w:tcW w:w="1185" w:type="dxa"/>
          </w:tcPr>
          <w:p w:rsidR="00E90179" w:rsidRPr="00785515" w:rsidRDefault="00E90179" w:rsidP="00950C7B">
            <w:pPr>
              <w:jc w:val="center"/>
              <w:rPr>
                <w:sz w:val="18"/>
                <w:szCs w:val="18"/>
              </w:rPr>
            </w:pPr>
            <w:r w:rsidRPr="00785515">
              <w:rPr>
                <w:rFonts w:hint="eastAsia"/>
                <w:sz w:val="18"/>
                <w:szCs w:val="18"/>
              </w:rPr>
              <w:t>社会</w:t>
            </w:r>
            <w:r w:rsidR="00102624">
              <w:rPr>
                <w:rFonts w:hint="eastAsia"/>
                <w:sz w:val="18"/>
                <w:szCs w:val="18"/>
              </w:rPr>
              <w:t>责任</w:t>
            </w:r>
            <w:r w:rsidRPr="00785515">
              <w:rPr>
                <w:rFonts w:hint="eastAsia"/>
                <w:sz w:val="18"/>
                <w:szCs w:val="18"/>
              </w:rPr>
              <w:t>型</w:t>
            </w:r>
          </w:p>
        </w:tc>
        <w:tc>
          <w:tcPr>
            <w:tcW w:w="1185" w:type="dxa"/>
          </w:tcPr>
          <w:p w:rsidR="00E90179" w:rsidRPr="00785515" w:rsidRDefault="00E90179" w:rsidP="00950C7B">
            <w:pPr>
              <w:jc w:val="center"/>
              <w:rPr>
                <w:sz w:val="18"/>
                <w:szCs w:val="18"/>
              </w:rPr>
            </w:pPr>
            <w:r w:rsidRPr="00785515">
              <w:rPr>
                <w:rFonts w:hint="eastAsia"/>
                <w:sz w:val="18"/>
                <w:szCs w:val="18"/>
              </w:rPr>
              <w:t>指数型</w:t>
            </w:r>
          </w:p>
        </w:tc>
        <w:tc>
          <w:tcPr>
            <w:tcW w:w="1185" w:type="dxa"/>
          </w:tcPr>
          <w:p w:rsidR="00E90179" w:rsidRPr="00785515" w:rsidRDefault="00E90179" w:rsidP="00950C7B">
            <w:pPr>
              <w:jc w:val="center"/>
              <w:rPr>
                <w:sz w:val="18"/>
                <w:szCs w:val="18"/>
              </w:rPr>
            </w:pPr>
            <w:r w:rsidRPr="00785515">
              <w:rPr>
                <w:rFonts w:hint="eastAsia"/>
                <w:sz w:val="18"/>
                <w:szCs w:val="18"/>
              </w:rPr>
              <w:t>保守</w:t>
            </w:r>
            <w:r w:rsidRPr="00785515">
              <w:rPr>
                <w:sz w:val="18"/>
                <w:szCs w:val="18"/>
              </w:rPr>
              <w:t>平衡</w:t>
            </w:r>
            <w:r w:rsidRPr="00785515">
              <w:rPr>
                <w:rFonts w:hint="eastAsia"/>
                <w:sz w:val="18"/>
                <w:szCs w:val="18"/>
              </w:rPr>
              <w:t>型</w:t>
            </w:r>
          </w:p>
        </w:tc>
        <w:tc>
          <w:tcPr>
            <w:tcW w:w="1645" w:type="dxa"/>
          </w:tcPr>
          <w:p w:rsidR="00E90179" w:rsidRPr="00785515" w:rsidRDefault="00E90179" w:rsidP="00950C7B">
            <w:pPr>
              <w:jc w:val="center"/>
              <w:rPr>
                <w:sz w:val="18"/>
                <w:szCs w:val="18"/>
              </w:rPr>
            </w:pPr>
            <w:r w:rsidRPr="00785515">
              <w:rPr>
                <w:rFonts w:hint="eastAsia"/>
                <w:sz w:val="18"/>
                <w:szCs w:val="18"/>
              </w:rPr>
              <w:t>稳健收益型</w:t>
            </w:r>
          </w:p>
        </w:tc>
      </w:tr>
      <w:tr w:rsidR="00E90179" w:rsidRPr="00785515" w:rsidTr="0035189F">
        <w:tc>
          <w:tcPr>
            <w:tcW w:w="1361" w:type="dxa"/>
          </w:tcPr>
          <w:p w:rsidR="00E90179" w:rsidRPr="00785515" w:rsidRDefault="00E90179" w:rsidP="004B5BAC">
            <w:pPr>
              <w:rPr>
                <w:sz w:val="18"/>
                <w:szCs w:val="18"/>
              </w:rPr>
            </w:pPr>
            <w:r w:rsidRPr="00785515">
              <w:rPr>
                <w:rFonts w:hint="eastAsia"/>
                <w:sz w:val="18"/>
                <w:szCs w:val="18"/>
              </w:rPr>
              <w:t>投资</w:t>
            </w:r>
            <w:r w:rsidRPr="00785515">
              <w:rPr>
                <w:sz w:val="18"/>
                <w:szCs w:val="18"/>
              </w:rPr>
              <w:t>目标</w:t>
            </w:r>
          </w:p>
        </w:tc>
        <w:tc>
          <w:tcPr>
            <w:tcW w:w="1185" w:type="dxa"/>
          </w:tcPr>
          <w:p w:rsidR="00E90179" w:rsidRPr="00785515" w:rsidRDefault="00E90179" w:rsidP="00950C7B">
            <w:pPr>
              <w:jc w:val="center"/>
              <w:rPr>
                <w:sz w:val="18"/>
                <w:szCs w:val="18"/>
              </w:rPr>
            </w:pPr>
            <w:r w:rsidRPr="00785515">
              <w:rPr>
                <w:rFonts w:hint="eastAsia"/>
                <w:sz w:val="18"/>
                <w:szCs w:val="18"/>
              </w:rPr>
              <w:t>CPI</w:t>
            </w:r>
            <w:r w:rsidRPr="00785515">
              <w:rPr>
                <w:sz w:val="18"/>
                <w:szCs w:val="18"/>
              </w:rPr>
              <w:t>+4</w:t>
            </w:r>
          </w:p>
        </w:tc>
        <w:tc>
          <w:tcPr>
            <w:tcW w:w="1185" w:type="dxa"/>
          </w:tcPr>
          <w:p w:rsidR="00E90179" w:rsidRPr="00785515" w:rsidRDefault="00E90179" w:rsidP="00950C7B">
            <w:pPr>
              <w:jc w:val="center"/>
              <w:rPr>
                <w:sz w:val="18"/>
                <w:szCs w:val="18"/>
              </w:rPr>
            </w:pPr>
            <w:r w:rsidRPr="00785515">
              <w:rPr>
                <w:rFonts w:hint="eastAsia"/>
                <w:sz w:val="18"/>
                <w:szCs w:val="18"/>
              </w:rPr>
              <w:t>CPI</w:t>
            </w:r>
            <w:r w:rsidRPr="00785515">
              <w:rPr>
                <w:sz w:val="18"/>
                <w:szCs w:val="18"/>
              </w:rPr>
              <w:t>+4</w:t>
            </w:r>
            <w:r w:rsidRPr="00785515">
              <w:rPr>
                <w:rFonts w:hint="eastAsia"/>
                <w:sz w:val="18"/>
                <w:szCs w:val="18"/>
              </w:rPr>
              <w:t>.5</w:t>
            </w:r>
          </w:p>
        </w:tc>
        <w:tc>
          <w:tcPr>
            <w:tcW w:w="1185" w:type="dxa"/>
          </w:tcPr>
          <w:p w:rsidR="00E90179" w:rsidRPr="00785515" w:rsidRDefault="00E90179" w:rsidP="00950C7B">
            <w:pPr>
              <w:jc w:val="center"/>
              <w:rPr>
                <w:sz w:val="18"/>
                <w:szCs w:val="18"/>
              </w:rPr>
            </w:pPr>
            <w:r w:rsidRPr="00785515">
              <w:rPr>
                <w:rFonts w:hint="eastAsia"/>
                <w:sz w:val="18"/>
                <w:szCs w:val="18"/>
              </w:rPr>
              <w:t>CPI</w:t>
            </w:r>
            <w:r w:rsidRPr="00785515">
              <w:rPr>
                <w:sz w:val="18"/>
                <w:szCs w:val="18"/>
              </w:rPr>
              <w:t>+4</w:t>
            </w:r>
          </w:p>
        </w:tc>
        <w:tc>
          <w:tcPr>
            <w:tcW w:w="1185" w:type="dxa"/>
          </w:tcPr>
          <w:p w:rsidR="00E90179" w:rsidRPr="00785515" w:rsidRDefault="00E90179" w:rsidP="00950C7B">
            <w:pPr>
              <w:jc w:val="center"/>
              <w:rPr>
                <w:sz w:val="18"/>
                <w:szCs w:val="18"/>
              </w:rPr>
            </w:pPr>
            <w:r w:rsidRPr="00785515">
              <w:rPr>
                <w:rFonts w:hint="eastAsia"/>
                <w:sz w:val="18"/>
                <w:szCs w:val="18"/>
              </w:rPr>
              <w:t>CPI</w:t>
            </w:r>
            <w:r w:rsidRPr="00785515">
              <w:rPr>
                <w:sz w:val="18"/>
                <w:szCs w:val="18"/>
              </w:rPr>
              <w:t>+3.5</w:t>
            </w:r>
          </w:p>
        </w:tc>
        <w:tc>
          <w:tcPr>
            <w:tcW w:w="1185" w:type="dxa"/>
          </w:tcPr>
          <w:p w:rsidR="00E90179" w:rsidRPr="00785515" w:rsidRDefault="00E90179" w:rsidP="00950C7B">
            <w:pPr>
              <w:jc w:val="center"/>
              <w:rPr>
                <w:sz w:val="18"/>
                <w:szCs w:val="18"/>
              </w:rPr>
            </w:pPr>
            <w:r w:rsidRPr="00785515">
              <w:rPr>
                <w:rFonts w:hint="eastAsia"/>
                <w:sz w:val="18"/>
                <w:szCs w:val="18"/>
              </w:rPr>
              <w:t>CPI</w:t>
            </w:r>
            <w:r w:rsidRPr="00785515">
              <w:rPr>
                <w:sz w:val="18"/>
                <w:szCs w:val="18"/>
              </w:rPr>
              <w:t>+2.5</w:t>
            </w:r>
          </w:p>
        </w:tc>
        <w:tc>
          <w:tcPr>
            <w:tcW w:w="1645" w:type="dxa"/>
          </w:tcPr>
          <w:p w:rsidR="00E90179" w:rsidRPr="00785515" w:rsidRDefault="00E90179" w:rsidP="00950C7B">
            <w:pPr>
              <w:jc w:val="center"/>
              <w:rPr>
                <w:sz w:val="18"/>
                <w:szCs w:val="18"/>
              </w:rPr>
            </w:pPr>
            <w:r w:rsidRPr="00785515">
              <w:rPr>
                <w:rFonts w:hint="eastAsia"/>
                <w:sz w:val="18"/>
                <w:szCs w:val="18"/>
              </w:rPr>
              <w:t>CPI</w:t>
            </w:r>
            <w:r w:rsidRPr="00785515">
              <w:rPr>
                <w:sz w:val="18"/>
                <w:szCs w:val="18"/>
              </w:rPr>
              <w:t>+1.5</w:t>
            </w:r>
          </w:p>
        </w:tc>
      </w:tr>
      <w:tr w:rsidR="00E90179" w:rsidRPr="00785515" w:rsidTr="0035189F">
        <w:trPr>
          <w:trHeight w:val="253"/>
        </w:trPr>
        <w:tc>
          <w:tcPr>
            <w:tcW w:w="1361" w:type="dxa"/>
          </w:tcPr>
          <w:p w:rsidR="00E90179" w:rsidRPr="00785515" w:rsidRDefault="00E90179" w:rsidP="004B5BAC">
            <w:pPr>
              <w:rPr>
                <w:sz w:val="18"/>
                <w:szCs w:val="18"/>
              </w:rPr>
            </w:pPr>
            <w:r w:rsidRPr="00785515">
              <w:rPr>
                <w:rFonts w:hint="eastAsia"/>
                <w:sz w:val="18"/>
                <w:szCs w:val="18"/>
              </w:rPr>
              <w:t>平均</w:t>
            </w:r>
            <w:r w:rsidRPr="00785515">
              <w:rPr>
                <w:rFonts w:hint="eastAsia"/>
                <w:sz w:val="18"/>
                <w:szCs w:val="18"/>
              </w:rPr>
              <w:t>5</w:t>
            </w:r>
            <w:r w:rsidRPr="00785515">
              <w:rPr>
                <w:rFonts w:hint="eastAsia"/>
                <w:sz w:val="18"/>
                <w:szCs w:val="18"/>
              </w:rPr>
              <w:t>年实际</w:t>
            </w:r>
            <w:r>
              <w:rPr>
                <w:rFonts w:hint="eastAsia"/>
                <w:sz w:val="18"/>
                <w:szCs w:val="18"/>
              </w:rPr>
              <w:t>表现</w:t>
            </w:r>
          </w:p>
        </w:tc>
        <w:tc>
          <w:tcPr>
            <w:tcW w:w="1185" w:type="dxa"/>
          </w:tcPr>
          <w:p w:rsidR="00E90179" w:rsidRPr="00785515" w:rsidRDefault="00E90179" w:rsidP="0035189F">
            <w:pPr>
              <w:jc w:val="center"/>
              <w:rPr>
                <w:sz w:val="18"/>
                <w:szCs w:val="18"/>
              </w:rPr>
            </w:pPr>
            <w:r w:rsidRPr="00785515">
              <w:rPr>
                <w:sz w:val="18"/>
                <w:szCs w:val="18"/>
              </w:rPr>
              <w:t>11.41</w:t>
            </w:r>
          </w:p>
        </w:tc>
        <w:tc>
          <w:tcPr>
            <w:tcW w:w="1185" w:type="dxa"/>
          </w:tcPr>
          <w:p w:rsidR="00E90179" w:rsidRPr="00785515" w:rsidRDefault="00950C7B" w:rsidP="0035189F">
            <w:pPr>
              <w:jc w:val="center"/>
              <w:rPr>
                <w:sz w:val="18"/>
                <w:szCs w:val="18"/>
              </w:rPr>
            </w:pPr>
            <w:r>
              <w:rPr>
                <w:sz w:val="18"/>
                <w:szCs w:val="18"/>
              </w:rPr>
              <w:t>12.62</w:t>
            </w:r>
          </w:p>
        </w:tc>
        <w:tc>
          <w:tcPr>
            <w:tcW w:w="1185" w:type="dxa"/>
          </w:tcPr>
          <w:p w:rsidR="00E90179" w:rsidRPr="00785515" w:rsidRDefault="00950C7B" w:rsidP="0035189F">
            <w:pPr>
              <w:jc w:val="center"/>
              <w:rPr>
                <w:sz w:val="18"/>
                <w:szCs w:val="18"/>
              </w:rPr>
            </w:pPr>
            <w:r>
              <w:rPr>
                <w:sz w:val="18"/>
                <w:szCs w:val="18"/>
              </w:rPr>
              <w:t>11.45</w:t>
            </w:r>
          </w:p>
        </w:tc>
        <w:tc>
          <w:tcPr>
            <w:tcW w:w="1185" w:type="dxa"/>
          </w:tcPr>
          <w:p w:rsidR="00E90179" w:rsidRPr="00785515" w:rsidRDefault="00950C7B" w:rsidP="0035189F">
            <w:pPr>
              <w:jc w:val="center"/>
              <w:rPr>
                <w:sz w:val="18"/>
                <w:szCs w:val="18"/>
              </w:rPr>
            </w:pPr>
            <w:r>
              <w:rPr>
                <w:sz w:val="18"/>
                <w:szCs w:val="18"/>
              </w:rPr>
              <w:t>8.73</w:t>
            </w:r>
          </w:p>
        </w:tc>
        <w:tc>
          <w:tcPr>
            <w:tcW w:w="1185" w:type="dxa"/>
          </w:tcPr>
          <w:p w:rsidR="00E90179" w:rsidRPr="00785515" w:rsidRDefault="00950C7B" w:rsidP="0035189F">
            <w:pPr>
              <w:jc w:val="center"/>
              <w:rPr>
                <w:sz w:val="18"/>
                <w:szCs w:val="18"/>
              </w:rPr>
            </w:pPr>
            <w:r>
              <w:rPr>
                <w:sz w:val="18"/>
                <w:szCs w:val="18"/>
              </w:rPr>
              <w:t>9.46</w:t>
            </w:r>
          </w:p>
        </w:tc>
        <w:tc>
          <w:tcPr>
            <w:tcW w:w="1645" w:type="dxa"/>
          </w:tcPr>
          <w:p w:rsidR="00E90179" w:rsidRPr="00785515" w:rsidRDefault="00950C7B" w:rsidP="0035189F">
            <w:pPr>
              <w:jc w:val="center"/>
              <w:rPr>
                <w:sz w:val="18"/>
                <w:szCs w:val="18"/>
              </w:rPr>
            </w:pPr>
            <w:r>
              <w:rPr>
                <w:sz w:val="18"/>
                <w:szCs w:val="18"/>
              </w:rPr>
              <w:t>7.39</w:t>
            </w:r>
          </w:p>
        </w:tc>
      </w:tr>
      <w:tr w:rsidR="00E90179" w:rsidRPr="00785515" w:rsidTr="0035189F">
        <w:tc>
          <w:tcPr>
            <w:tcW w:w="8931" w:type="dxa"/>
            <w:gridSpan w:val="7"/>
          </w:tcPr>
          <w:p w:rsidR="00E90179" w:rsidRPr="00B346B1" w:rsidRDefault="00E90179" w:rsidP="00950C7B">
            <w:pPr>
              <w:jc w:val="center"/>
              <w:rPr>
                <w:b/>
                <w:sz w:val="18"/>
                <w:szCs w:val="18"/>
              </w:rPr>
            </w:pPr>
            <w:r w:rsidRPr="00B346B1">
              <w:rPr>
                <w:rFonts w:hint="eastAsia"/>
                <w:b/>
                <w:sz w:val="18"/>
                <w:szCs w:val="18"/>
              </w:rPr>
              <w:t>战术</w:t>
            </w:r>
            <w:r w:rsidRPr="00B346B1">
              <w:rPr>
                <w:b/>
                <w:sz w:val="18"/>
                <w:szCs w:val="18"/>
              </w:rPr>
              <w:t>资产配置</w:t>
            </w:r>
          </w:p>
        </w:tc>
      </w:tr>
      <w:tr w:rsidR="00E90179" w:rsidRPr="00785515" w:rsidTr="0035189F">
        <w:tc>
          <w:tcPr>
            <w:tcW w:w="1361" w:type="dxa"/>
          </w:tcPr>
          <w:p w:rsidR="00E90179" w:rsidRPr="00785515" w:rsidRDefault="00E90179" w:rsidP="004B5BAC">
            <w:pPr>
              <w:rPr>
                <w:sz w:val="18"/>
                <w:szCs w:val="18"/>
              </w:rPr>
            </w:pPr>
            <w:r>
              <w:rPr>
                <w:rFonts w:hint="eastAsia"/>
                <w:sz w:val="18"/>
                <w:szCs w:val="18"/>
              </w:rPr>
              <w:t>国内股票</w:t>
            </w:r>
          </w:p>
        </w:tc>
        <w:tc>
          <w:tcPr>
            <w:tcW w:w="1185" w:type="dxa"/>
            <w:vAlign w:val="center"/>
          </w:tcPr>
          <w:p w:rsidR="00E90179" w:rsidRPr="00785515" w:rsidRDefault="00E90179" w:rsidP="00950C7B">
            <w:pPr>
              <w:jc w:val="center"/>
              <w:rPr>
                <w:sz w:val="18"/>
                <w:szCs w:val="18"/>
              </w:rPr>
            </w:pPr>
            <w:r w:rsidRPr="00785515">
              <w:rPr>
                <w:sz w:val="18"/>
                <w:szCs w:val="18"/>
              </w:rPr>
              <w:t>25</w:t>
            </w:r>
          </w:p>
        </w:tc>
        <w:tc>
          <w:tcPr>
            <w:tcW w:w="1185" w:type="dxa"/>
            <w:vAlign w:val="center"/>
          </w:tcPr>
          <w:p w:rsidR="00E90179" w:rsidRPr="00785515" w:rsidRDefault="00E90179" w:rsidP="00950C7B">
            <w:pPr>
              <w:jc w:val="center"/>
              <w:rPr>
                <w:sz w:val="18"/>
                <w:szCs w:val="18"/>
              </w:rPr>
            </w:pPr>
            <w:r w:rsidRPr="00785515">
              <w:rPr>
                <w:sz w:val="18"/>
                <w:szCs w:val="18"/>
              </w:rPr>
              <w:t>32</w:t>
            </w:r>
          </w:p>
        </w:tc>
        <w:tc>
          <w:tcPr>
            <w:tcW w:w="1185" w:type="dxa"/>
            <w:vAlign w:val="center"/>
          </w:tcPr>
          <w:p w:rsidR="00E90179" w:rsidRPr="00785515" w:rsidRDefault="00E90179" w:rsidP="00950C7B">
            <w:pPr>
              <w:jc w:val="center"/>
              <w:rPr>
                <w:sz w:val="18"/>
                <w:szCs w:val="18"/>
              </w:rPr>
            </w:pPr>
            <w:r w:rsidRPr="00785515">
              <w:rPr>
                <w:sz w:val="18"/>
                <w:szCs w:val="18"/>
              </w:rPr>
              <w:t>25</w:t>
            </w:r>
          </w:p>
        </w:tc>
        <w:tc>
          <w:tcPr>
            <w:tcW w:w="1185" w:type="dxa"/>
            <w:vAlign w:val="center"/>
          </w:tcPr>
          <w:p w:rsidR="00E90179" w:rsidRPr="00785515" w:rsidRDefault="00E90179" w:rsidP="00950C7B">
            <w:pPr>
              <w:jc w:val="center"/>
              <w:rPr>
                <w:sz w:val="18"/>
                <w:szCs w:val="18"/>
              </w:rPr>
            </w:pPr>
            <w:r w:rsidRPr="00785515">
              <w:rPr>
                <w:sz w:val="18"/>
                <w:szCs w:val="18"/>
              </w:rPr>
              <w:t>32</w:t>
            </w:r>
          </w:p>
        </w:tc>
        <w:tc>
          <w:tcPr>
            <w:tcW w:w="1185" w:type="dxa"/>
            <w:vAlign w:val="center"/>
          </w:tcPr>
          <w:p w:rsidR="00E90179" w:rsidRPr="00785515" w:rsidRDefault="00E90179" w:rsidP="00950C7B">
            <w:pPr>
              <w:jc w:val="center"/>
              <w:rPr>
                <w:sz w:val="18"/>
                <w:szCs w:val="18"/>
              </w:rPr>
            </w:pPr>
            <w:r w:rsidRPr="00785515">
              <w:rPr>
                <w:sz w:val="18"/>
                <w:szCs w:val="18"/>
              </w:rPr>
              <w:t>17.50</w:t>
            </w:r>
          </w:p>
        </w:tc>
        <w:tc>
          <w:tcPr>
            <w:tcW w:w="1645" w:type="dxa"/>
            <w:vAlign w:val="center"/>
          </w:tcPr>
          <w:p w:rsidR="00E90179" w:rsidRPr="00785515" w:rsidRDefault="00E90179" w:rsidP="00950C7B">
            <w:pPr>
              <w:jc w:val="center"/>
              <w:rPr>
                <w:sz w:val="18"/>
                <w:szCs w:val="18"/>
              </w:rPr>
            </w:pPr>
            <w:r w:rsidRPr="00785515">
              <w:rPr>
                <w:sz w:val="18"/>
                <w:szCs w:val="18"/>
              </w:rPr>
              <w:t>10</w:t>
            </w:r>
          </w:p>
        </w:tc>
      </w:tr>
      <w:tr w:rsidR="00E90179" w:rsidRPr="00785515" w:rsidTr="0035189F">
        <w:tc>
          <w:tcPr>
            <w:tcW w:w="1361" w:type="dxa"/>
          </w:tcPr>
          <w:p w:rsidR="00E90179" w:rsidRPr="00785515" w:rsidRDefault="00E90179" w:rsidP="004B5BAC">
            <w:pPr>
              <w:rPr>
                <w:sz w:val="18"/>
                <w:szCs w:val="18"/>
              </w:rPr>
            </w:pPr>
            <w:r>
              <w:rPr>
                <w:rFonts w:hint="eastAsia"/>
                <w:sz w:val="18"/>
                <w:szCs w:val="18"/>
              </w:rPr>
              <w:t>国际</w:t>
            </w:r>
            <w:r>
              <w:rPr>
                <w:sz w:val="18"/>
                <w:szCs w:val="18"/>
              </w:rPr>
              <w:t>股票</w:t>
            </w:r>
          </w:p>
        </w:tc>
        <w:tc>
          <w:tcPr>
            <w:tcW w:w="1185" w:type="dxa"/>
            <w:vAlign w:val="center"/>
          </w:tcPr>
          <w:p w:rsidR="00E90179" w:rsidRPr="00785515" w:rsidRDefault="00E90179" w:rsidP="004B5BAC">
            <w:pPr>
              <w:jc w:val="center"/>
              <w:rPr>
                <w:sz w:val="18"/>
                <w:szCs w:val="18"/>
              </w:rPr>
            </w:pPr>
            <w:r w:rsidRPr="00785515">
              <w:rPr>
                <w:sz w:val="18"/>
                <w:szCs w:val="18"/>
              </w:rPr>
              <w:t>34</w:t>
            </w:r>
          </w:p>
        </w:tc>
        <w:tc>
          <w:tcPr>
            <w:tcW w:w="1185" w:type="dxa"/>
            <w:vAlign w:val="center"/>
          </w:tcPr>
          <w:p w:rsidR="00E90179" w:rsidRPr="00785515" w:rsidRDefault="00E90179" w:rsidP="004B5BAC">
            <w:pPr>
              <w:jc w:val="center"/>
              <w:rPr>
                <w:sz w:val="18"/>
                <w:szCs w:val="18"/>
              </w:rPr>
            </w:pPr>
            <w:r w:rsidRPr="00785515">
              <w:rPr>
                <w:sz w:val="18"/>
                <w:szCs w:val="18"/>
              </w:rPr>
              <w:t>43.50</w:t>
            </w:r>
          </w:p>
        </w:tc>
        <w:tc>
          <w:tcPr>
            <w:tcW w:w="1185" w:type="dxa"/>
            <w:vAlign w:val="center"/>
          </w:tcPr>
          <w:p w:rsidR="00E90179" w:rsidRPr="00785515" w:rsidRDefault="00E90179" w:rsidP="004B5BAC">
            <w:pPr>
              <w:jc w:val="center"/>
              <w:rPr>
                <w:sz w:val="18"/>
                <w:szCs w:val="18"/>
              </w:rPr>
            </w:pPr>
            <w:r w:rsidRPr="00785515">
              <w:rPr>
                <w:sz w:val="18"/>
                <w:szCs w:val="18"/>
              </w:rPr>
              <w:t>34</w:t>
            </w:r>
          </w:p>
        </w:tc>
        <w:tc>
          <w:tcPr>
            <w:tcW w:w="1185" w:type="dxa"/>
            <w:vAlign w:val="center"/>
          </w:tcPr>
          <w:p w:rsidR="00E90179" w:rsidRPr="00785515" w:rsidRDefault="00E90179" w:rsidP="004B5BAC">
            <w:pPr>
              <w:jc w:val="center"/>
              <w:rPr>
                <w:sz w:val="18"/>
                <w:szCs w:val="18"/>
              </w:rPr>
            </w:pPr>
            <w:r w:rsidRPr="00785515">
              <w:rPr>
                <w:sz w:val="18"/>
                <w:szCs w:val="18"/>
              </w:rPr>
              <w:t>38</w:t>
            </w:r>
          </w:p>
        </w:tc>
        <w:tc>
          <w:tcPr>
            <w:tcW w:w="1185" w:type="dxa"/>
            <w:vAlign w:val="center"/>
          </w:tcPr>
          <w:p w:rsidR="00E90179" w:rsidRPr="00785515" w:rsidRDefault="00E90179" w:rsidP="004B5BAC">
            <w:pPr>
              <w:jc w:val="center"/>
              <w:rPr>
                <w:sz w:val="18"/>
                <w:szCs w:val="18"/>
              </w:rPr>
            </w:pPr>
            <w:r w:rsidRPr="00785515">
              <w:rPr>
                <w:sz w:val="18"/>
                <w:szCs w:val="18"/>
              </w:rPr>
              <w:t>23.50</w:t>
            </w:r>
          </w:p>
        </w:tc>
        <w:tc>
          <w:tcPr>
            <w:tcW w:w="1645" w:type="dxa"/>
            <w:vAlign w:val="center"/>
          </w:tcPr>
          <w:p w:rsidR="00E90179" w:rsidRPr="00785515" w:rsidRDefault="00E90179" w:rsidP="004B5BAC">
            <w:pPr>
              <w:jc w:val="center"/>
              <w:rPr>
                <w:sz w:val="18"/>
                <w:szCs w:val="18"/>
              </w:rPr>
            </w:pPr>
            <w:r w:rsidRPr="00785515">
              <w:rPr>
                <w:sz w:val="18"/>
                <w:szCs w:val="18"/>
              </w:rPr>
              <w:t>13.50</w:t>
            </w:r>
          </w:p>
        </w:tc>
      </w:tr>
      <w:tr w:rsidR="00E90179" w:rsidRPr="00785515" w:rsidTr="0035189F">
        <w:tc>
          <w:tcPr>
            <w:tcW w:w="1361" w:type="dxa"/>
          </w:tcPr>
          <w:p w:rsidR="00E90179" w:rsidRPr="00785515" w:rsidRDefault="00E90179" w:rsidP="004B5BAC">
            <w:pPr>
              <w:rPr>
                <w:sz w:val="18"/>
                <w:szCs w:val="18"/>
              </w:rPr>
            </w:pPr>
            <w:r>
              <w:rPr>
                <w:rFonts w:hint="eastAsia"/>
                <w:sz w:val="18"/>
                <w:szCs w:val="18"/>
              </w:rPr>
              <w:t>房地产</w:t>
            </w:r>
          </w:p>
        </w:tc>
        <w:tc>
          <w:tcPr>
            <w:tcW w:w="1185" w:type="dxa"/>
            <w:vAlign w:val="center"/>
          </w:tcPr>
          <w:p w:rsidR="00E90179" w:rsidRPr="00785515" w:rsidRDefault="00E90179" w:rsidP="004B5BAC">
            <w:pPr>
              <w:jc w:val="center"/>
              <w:rPr>
                <w:sz w:val="18"/>
                <w:szCs w:val="18"/>
              </w:rPr>
            </w:pPr>
            <w:r w:rsidRPr="00785515">
              <w:rPr>
                <w:sz w:val="18"/>
                <w:szCs w:val="18"/>
              </w:rPr>
              <w:t>7</w:t>
            </w:r>
          </w:p>
        </w:tc>
        <w:tc>
          <w:tcPr>
            <w:tcW w:w="1185" w:type="dxa"/>
            <w:vAlign w:val="center"/>
          </w:tcPr>
          <w:p w:rsidR="00E90179" w:rsidRPr="00785515" w:rsidRDefault="00E90179" w:rsidP="004B5BAC">
            <w:pPr>
              <w:jc w:val="center"/>
              <w:rPr>
                <w:sz w:val="18"/>
                <w:szCs w:val="18"/>
              </w:rPr>
            </w:pPr>
            <w:r w:rsidRPr="00785515">
              <w:rPr>
                <w:sz w:val="18"/>
                <w:szCs w:val="18"/>
              </w:rPr>
              <w:t>5</w:t>
            </w:r>
          </w:p>
        </w:tc>
        <w:tc>
          <w:tcPr>
            <w:tcW w:w="1185" w:type="dxa"/>
            <w:vAlign w:val="center"/>
          </w:tcPr>
          <w:p w:rsidR="00E90179" w:rsidRPr="00785515" w:rsidRDefault="00E90179" w:rsidP="004B5BAC">
            <w:pPr>
              <w:jc w:val="center"/>
              <w:rPr>
                <w:sz w:val="18"/>
                <w:szCs w:val="18"/>
              </w:rPr>
            </w:pPr>
            <w:r w:rsidRPr="00785515">
              <w:rPr>
                <w:sz w:val="18"/>
                <w:szCs w:val="18"/>
              </w:rPr>
              <w:t>7</w:t>
            </w:r>
          </w:p>
        </w:tc>
        <w:tc>
          <w:tcPr>
            <w:tcW w:w="1185" w:type="dxa"/>
          </w:tcPr>
          <w:p w:rsidR="00E90179" w:rsidRPr="00785515" w:rsidRDefault="00E90179" w:rsidP="004B5BAC">
            <w:pPr>
              <w:jc w:val="center"/>
              <w:rPr>
                <w:sz w:val="18"/>
                <w:szCs w:val="18"/>
              </w:rPr>
            </w:pPr>
          </w:p>
        </w:tc>
        <w:tc>
          <w:tcPr>
            <w:tcW w:w="1185" w:type="dxa"/>
            <w:vAlign w:val="center"/>
          </w:tcPr>
          <w:p w:rsidR="00E90179" w:rsidRPr="00785515" w:rsidRDefault="00E90179" w:rsidP="004B5BAC">
            <w:pPr>
              <w:jc w:val="center"/>
              <w:rPr>
                <w:sz w:val="18"/>
                <w:szCs w:val="18"/>
              </w:rPr>
            </w:pPr>
            <w:r w:rsidRPr="00785515">
              <w:rPr>
                <w:sz w:val="18"/>
                <w:szCs w:val="18"/>
              </w:rPr>
              <w:t>6</w:t>
            </w:r>
          </w:p>
        </w:tc>
        <w:tc>
          <w:tcPr>
            <w:tcW w:w="1645" w:type="dxa"/>
            <w:vAlign w:val="center"/>
          </w:tcPr>
          <w:p w:rsidR="00E90179" w:rsidRPr="00785515" w:rsidRDefault="00E90179" w:rsidP="004B5BAC">
            <w:pPr>
              <w:jc w:val="center"/>
              <w:rPr>
                <w:sz w:val="18"/>
                <w:szCs w:val="18"/>
              </w:rPr>
            </w:pPr>
            <w:r w:rsidRPr="00785515">
              <w:rPr>
                <w:sz w:val="18"/>
                <w:szCs w:val="18"/>
              </w:rPr>
              <w:t>6</w:t>
            </w:r>
          </w:p>
        </w:tc>
      </w:tr>
      <w:tr w:rsidR="00E90179" w:rsidRPr="00785515" w:rsidTr="0035189F">
        <w:tc>
          <w:tcPr>
            <w:tcW w:w="1361" w:type="dxa"/>
          </w:tcPr>
          <w:p w:rsidR="00E90179" w:rsidRDefault="00E90179" w:rsidP="004B5BAC">
            <w:pPr>
              <w:rPr>
                <w:sz w:val="18"/>
                <w:szCs w:val="18"/>
              </w:rPr>
            </w:pPr>
            <w:r>
              <w:rPr>
                <w:rFonts w:hint="eastAsia"/>
                <w:sz w:val="18"/>
                <w:szCs w:val="18"/>
              </w:rPr>
              <w:t>基础设施</w:t>
            </w:r>
          </w:p>
        </w:tc>
        <w:tc>
          <w:tcPr>
            <w:tcW w:w="1185" w:type="dxa"/>
            <w:vAlign w:val="center"/>
          </w:tcPr>
          <w:p w:rsidR="00E90179" w:rsidRPr="00785515" w:rsidRDefault="00E90179" w:rsidP="004B5BAC">
            <w:pPr>
              <w:jc w:val="center"/>
              <w:rPr>
                <w:sz w:val="18"/>
                <w:szCs w:val="18"/>
              </w:rPr>
            </w:pPr>
            <w:r w:rsidRPr="00785515">
              <w:rPr>
                <w:sz w:val="18"/>
                <w:szCs w:val="18"/>
              </w:rPr>
              <w:t>13</w:t>
            </w:r>
          </w:p>
        </w:tc>
        <w:tc>
          <w:tcPr>
            <w:tcW w:w="1185" w:type="dxa"/>
            <w:vAlign w:val="center"/>
          </w:tcPr>
          <w:p w:rsidR="00E90179" w:rsidRPr="00785515" w:rsidRDefault="00E90179" w:rsidP="004B5BAC">
            <w:pPr>
              <w:jc w:val="center"/>
              <w:rPr>
                <w:sz w:val="18"/>
                <w:szCs w:val="18"/>
              </w:rPr>
            </w:pPr>
            <w:r w:rsidRPr="00785515">
              <w:rPr>
                <w:sz w:val="18"/>
                <w:szCs w:val="18"/>
              </w:rPr>
              <w:t>9</w:t>
            </w:r>
          </w:p>
        </w:tc>
        <w:tc>
          <w:tcPr>
            <w:tcW w:w="1185" w:type="dxa"/>
            <w:vAlign w:val="center"/>
          </w:tcPr>
          <w:p w:rsidR="00E90179" w:rsidRPr="00785515" w:rsidRDefault="00E90179" w:rsidP="004B5BAC">
            <w:pPr>
              <w:jc w:val="center"/>
              <w:rPr>
                <w:sz w:val="18"/>
                <w:szCs w:val="18"/>
              </w:rPr>
            </w:pPr>
            <w:r w:rsidRPr="00785515">
              <w:rPr>
                <w:sz w:val="18"/>
                <w:szCs w:val="18"/>
              </w:rPr>
              <w:t>13</w:t>
            </w:r>
          </w:p>
        </w:tc>
        <w:tc>
          <w:tcPr>
            <w:tcW w:w="1185" w:type="dxa"/>
          </w:tcPr>
          <w:p w:rsidR="00E90179" w:rsidRPr="00785515" w:rsidRDefault="00E90179" w:rsidP="004B5BAC">
            <w:pPr>
              <w:jc w:val="center"/>
              <w:rPr>
                <w:sz w:val="18"/>
                <w:szCs w:val="18"/>
              </w:rPr>
            </w:pPr>
          </w:p>
        </w:tc>
        <w:tc>
          <w:tcPr>
            <w:tcW w:w="1185" w:type="dxa"/>
            <w:vAlign w:val="center"/>
          </w:tcPr>
          <w:p w:rsidR="00E90179" w:rsidRPr="00785515" w:rsidRDefault="00E90179" w:rsidP="004B5BAC">
            <w:pPr>
              <w:jc w:val="center"/>
              <w:rPr>
                <w:sz w:val="18"/>
                <w:szCs w:val="18"/>
              </w:rPr>
            </w:pPr>
            <w:r w:rsidRPr="00785515">
              <w:rPr>
                <w:sz w:val="18"/>
                <w:szCs w:val="18"/>
              </w:rPr>
              <w:t>11</w:t>
            </w:r>
          </w:p>
        </w:tc>
        <w:tc>
          <w:tcPr>
            <w:tcW w:w="1645" w:type="dxa"/>
            <w:vAlign w:val="center"/>
          </w:tcPr>
          <w:p w:rsidR="00E90179" w:rsidRPr="00785515" w:rsidRDefault="00E90179" w:rsidP="004B5BAC">
            <w:pPr>
              <w:jc w:val="center"/>
              <w:rPr>
                <w:sz w:val="18"/>
                <w:szCs w:val="18"/>
              </w:rPr>
            </w:pPr>
            <w:r w:rsidRPr="00785515">
              <w:rPr>
                <w:sz w:val="18"/>
                <w:szCs w:val="18"/>
              </w:rPr>
              <w:t>11</w:t>
            </w:r>
          </w:p>
        </w:tc>
      </w:tr>
      <w:tr w:rsidR="00E90179" w:rsidRPr="00785515" w:rsidTr="0035189F">
        <w:tc>
          <w:tcPr>
            <w:tcW w:w="1361" w:type="dxa"/>
          </w:tcPr>
          <w:p w:rsidR="00E90179" w:rsidRDefault="00E90179" w:rsidP="004B5BAC">
            <w:pPr>
              <w:rPr>
                <w:sz w:val="18"/>
                <w:szCs w:val="18"/>
              </w:rPr>
            </w:pPr>
            <w:r>
              <w:rPr>
                <w:rFonts w:hint="eastAsia"/>
                <w:sz w:val="18"/>
                <w:szCs w:val="18"/>
              </w:rPr>
              <w:t>PE</w:t>
            </w:r>
          </w:p>
        </w:tc>
        <w:tc>
          <w:tcPr>
            <w:tcW w:w="1185" w:type="dxa"/>
            <w:vAlign w:val="center"/>
          </w:tcPr>
          <w:p w:rsidR="00E90179" w:rsidRPr="00785515" w:rsidRDefault="00E90179" w:rsidP="004B5BAC">
            <w:pPr>
              <w:jc w:val="center"/>
              <w:rPr>
                <w:sz w:val="18"/>
                <w:szCs w:val="18"/>
              </w:rPr>
            </w:pPr>
            <w:r w:rsidRPr="00785515">
              <w:rPr>
                <w:sz w:val="18"/>
                <w:szCs w:val="18"/>
              </w:rPr>
              <w:t>3</w:t>
            </w:r>
          </w:p>
        </w:tc>
        <w:tc>
          <w:tcPr>
            <w:tcW w:w="1185" w:type="dxa"/>
            <w:vAlign w:val="center"/>
          </w:tcPr>
          <w:p w:rsidR="00E90179" w:rsidRPr="00785515" w:rsidRDefault="00E90179" w:rsidP="004B5BAC">
            <w:pPr>
              <w:jc w:val="center"/>
              <w:rPr>
                <w:sz w:val="18"/>
                <w:szCs w:val="18"/>
              </w:rPr>
            </w:pPr>
            <w:r w:rsidRPr="00785515">
              <w:rPr>
                <w:sz w:val="18"/>
                <w:szCs w:val="18"/>
              </w:rPr>
              <w:t>3.5</w:t>
            </w:r>
          </w:p>
        </w:tc>
        <w:tc>
          <w:tcPr>
            <w:tcW w:w="1185" w:type="dxa"/>
            <w:vAlign w:val="center"/>
          </w:tcPr>
          <w:p w:rsidR="00E90179" w:rsidRPr="00785515" w:rsidRDefault="00E90179" w:rsidP="004B5BAC">
            <w:pPr>
              <w:jc w:val="center"/>
              <w:rPr>
                <w:sz w:val="18"/>
                <w:szCs w:val="18"/>
              </w:rPr>
            </w:pPr>
            <w:r w:rsidRPr="00785515">
              <w:rPr>
                <w:sz w:val="18"/>
                <w:szCs w:val="18"/>
              </w:rPr>
              <w:t>3</w:t>
            </w:r>
          </w:p>
        </w:tc>
        <w:tc>
          <w:tcPr>
            <w:tcW w:w="1185" w:type="dxa"/>
          </w:tcPr>
          <w:p w:rsidR="00E90179" w:rsidRPr="00785515" w:rsidRDefault="00E90179" w:rsidP="004B5BAC">
            <w:pPr>
              <w:jc w:val="center"/>
              <w:rPr>
                <w:sz w:val="18"/>
                <w:szCs w:val="18"/>
              </w:rPr>
            </w:pPr>
          </w:p>
        </w:tc>
        <w:tc>
          <w:tcPr>
            <w:tcW w:w="1185" w:type="dxa"/>
            <w:vAlign w:val="center"/>
          </w:tcPr>
          <w:p w:rsidR="00E90179" w:rsidRPr="00785515" w:rsidRDefault="00E90179" w:rsidP="004B5BAC">
            <w:pPr>
              <w:jc w:val="center"/>
              <w:rPr>
                <w:sz w:val="18"/>
                <w:szCs w:val="18"/>
              </w:rPr>
            </w:pPr>
            <w:r w:rsidRPr="00785515">
              <w:rPr>
                <w:sz w:val="18"/>
                <w:szCs w:val="18"/>
              </w:rPr>
              <w:t>1.5</w:t>
            </w:r>
          </w:p>
        </w:tc>
        <w:tc>
          <w:tcPr>
            <w:tcW w:w="1645" w:type="dxa"/>
            <w:vAlign w:val="center"/>
          </w:tcPr>
          <w:p w:rsidR="00E90179" w:rsidRPr="00785515" w:rsidRDefault="00E90179" w:rsidP="004B5BAC">
            <w:pPr>
              <w:jc w:val="center"/>
              <w:rPr>
                <w:sz w:val="18"/>
                <w:szCs w:val="18"/>
              </w:rPr>
            </w:pPr>
            <w:r w:rsidRPr="00785515">
              <w:rPr>
                <w:sz w:val="18"/>
                <w:szCs w:val="18"/>
              </w:rPr>
              <w:t>0</w:t>
            </w:r>
          </w:p>
        </w:tc>
      </w:tr>
      <w:tr w:rsidR="00E90179" w:rsidRPr="00785515" w:rsidTr="0035189F">
        <w:tc>
          <w:tcPr>
            <w:tcW w:w="1361" w:type="dxa"/>
          </w:tcPr>
          <w:p w:rsidR="00E90179" w:rsidRDefault="00E90179" w:rsidP="004B5BAC">
            <w:pPr>
              <w:rPr>
                <w:sz w:val="18"/>
                <w:szCs w:val="18"/>
              </w:rPr>
            </w:pPr>
            <w:r>
              <w:rPr>
                <w:rFonts w:hint="eastAsia"/>
                <w:sz w:val="18"/>
                <w:szCs w:val="18"/>
              </w:rPr>
              <w:t>信贷</w:t>
            </w:r>
          </w:p>
        </w:tc>
        <w:tc>
          <w:tcPr>
            <w:tcW w:w="1185" w:type="dxa"/>
            <w:vAlign w:val="center"/>
          </w:tcPr>
          <w:p w:rsidR="00E90179" w:rsidRPr="00785515" w:rsidRDefault="00E90179" w:rsidP="004B5BAC">
            <w:pPr>
              <w:jc w:val="center"/>
              <w:rPr>
                <w:sz w:val="18"/>
                <w:szCs w:val="18"/>
              </w:rPr>
            </w:pPr>
            <w:r w:rsidRPr="00785515">
              <w:rPr>
                <w:sz w:val="18"/>
                <w:szCs w:val="18"/>
              </w:rPr>
              <w:t>6</w:t>
            </w:r>
          </w:p>
        </w:tc>
        <w:tc>
          <w:tcPr>
            <w:tcW w:w="1185" w:type="dxa"/>
            <w:vAlign w:val="center"/>
          </w:tcPr>
          <w:p w:rsidR="00E90179" w:rsidRPr="00785515" w:rsidRDefault="00E90179" w:rsidP="004B5BAC">
            <w:pPr>
              <w:jc w:val="center"/>
              <w:rPr>
                <w:sz w:val="18"/>
                <w:szCs w:val="18"/>
              </w:rPr>
            </w:pPr>
            <w:r w:rsidRPr="00785515">
              <w:rPr>
                <w:sz w:val="18"/>
                <w:szCs w:val="18"/>
              </w:rPr>
              <w:t>4</w:t>
            </w:r>
          </w:p>
        </w:tc>
        <w:tc>
          <w:tcPr>
            <w:tcW w:w="1185" w:type="dxa"/>
            <w:vAlign w:val="center"/>
          </w:tcPr>
          <w:p w:rsidR="00E90179" w:rsidRPr="00785515" w:rsidRDefault="00E90179" w:rsidP="004B5BAC">
            <w:pPr>
              <w:jc w:val="center"/>
              <w:rPr>
                <w:sz w:val="18"/>
                <w:szCs w:val="18"/>
              </w:rPr>
            </w:pPr>
            <w:r w:rsidRPr="00785515">
              <w:rPr>
                <w:sz w:val="18"/>
                <w:szCs w:val="18"/>
              </w:rPr>
              <w:t>6</w:t>
            </w:r>
          </w:p>
        </w:tc>
        <w:tc>
          <w:tcPr>
            <w:tcW w:w="1185" w:type="dxa"/>
          </w:tcPr>
          <w:p w:rsidR="00E90179" w:rsidRPr="00785515" w:rsidRDefault="00E90179" w:rsidP="004B5BAC">
            <w:pPr>
              <w:jc w:val="center"/>
              <w:rPr>
                <w:sz w:val="18"/>
                <w:szCs w:val="18"/>
              </w:rPr>
            </w:pPr>
          </w:p>
        </w:tc>
        <w:tc>
          <w:tcPr>
            <w:tcW w:w="1185" w:type="dxa"/>
            <w:vAlign w:val="center"/>
          </w:tcPr>
          <w:p w:rsidR="00E90179" w:rsidRPr="00785515" w:rsidRDefault="00E90179" w:rsidP="004B5BAC">
            <w:pPr>
              <w:jc w:val="center"/>
              <w:rPr>
                <w:sz w:val="18"/>
                <w:szCs w:val="18"/>
              </w:rPr>
            </w:pPr>
            <w:r w:rsidRPr="00785515">
              <w:rPr>
                <w:sz w:val="18"/>
                <w:szCs w:val="18"/>
              </w:rPr>
              <w:t>7</w:t>
            </w:r>
          </w:p>
        </w:tc>
        <w:tc>
          <w:tcPr>
            <w:tcW w:w="1645" w:type="dxa"/>
            <w:vAlign w:val="center"/>
          </w:tcPr>
          <w:p w:rsidR="00E90179" w:rsidRPr="00785515" w:rsidRDefault="00E90179" w:rsidP="004B5BAC">
            <w:pPr>
              <w:jc w:val="center"/>
              <w:rPr>
                <w:sz w:val="18"/>
                <w:szCs w:val="18"/>
              </w:rPr>
            </w:pPr>
            <w:r w:rsidRPr="00785515">
              <w:rPr>
                <w:sz w:val="18"/>
                <w:szCs w:val="18"/>
              </w:rPr>
              <w:t>7</w:t>
            </w:r>
          </w:p>
        </w:tc>
      </w:tr>
      <w:tr w:rsidR="00E90179" w:rsidRPr="00785515" w:rsidTr="0035189F">
        <w:tc>
          <w:tcPr>
            <w:tcW w:w="1361" w:type="dxa"/>
          </w:tcPr>
          <w:p w:rsidR="00E90179" w:rsidRDefault="00E90179" w:rsidP="004B5BAC">
            <w:pPr>
              <w:rPr>
                <w:sz w:val="18"/>
                <w:szCs w:val="18"/>
              </w:rPr>
            </w:pPr>
            <w:r>
              <w:rPr>
                <w:rFonts w:hint="eastAsia"/>
                <w:sz w:val="18"/>
                <w:szCs w:val="18"/>
              </w:rPr>
              <w:t>固收</w:t>
            </w:r>
          </w:p>
        </w:tc>
        <w:tc>
          <w:tcPr>
            <w:tcW w:w="1185" w:type="dxa"/>
            <w:vAlign w:val="center"/>
          </w:tcPr>
          <w:p w:rsidR="00E90179" w:rsidRPr="00785515" w:rsidRDefault="00E90179" w:rsidP="004B5BAC">
            <w:pPr>
              <w:jc w:val="center"/>
              <w:rPr>
                <w:sz w:val="18"/>
                <w:szCs w:val="18"/>
              </w:rPr>
            </w:pPr>
            <w:r w:rsidRPr="00785515">
              <w:rPr>
                <w:sz w:val="18"/>
                <w:szCs w:val="18"/>
              </w:rPr>
              <w:t>2</w:t>
            </w:r>
          </w:p>
        </w:tc>
        <w:tc>
          <w:tcPr>
            <w:tcW w:w="1185" w:type="dxa"/>
            <w:vAlign w:val="center"/>
          </w:tcPr>
          <w:p w:rsidR="00E90179" w:rsidRPr="00785515" w:rsidRDefault="00E90179" w:rsidP="004B5BAC">
            <w:pPr>
              <w:jc w:val="center"/>
              <w:rPr>
                <w:sz w:val="18"/>
                <w:szCs w:val="18"/>
              </w:rPr>
            </w:pPr>
            <w:r w:rsidRPr="00785515">
              <w:rPr>
                <w:sz w:val="18"/>
                <w:szCs w:val="18"/>
              </w:rPr>
              <w:t>0</w:t>
            </w:r>
          </w:p>
        </w:tc>
        <w:tc>
          <w:tcPr>
            <w:tcW w:w="1185" w:type="dxa"/>
            <w:vAlign w:val="center"/>
          </w:tcPr>
          <w:p w:rsidR="00E90179" w:rsidRPr="00785515" w:rsidRDefault="00E90179" w:rsidP="004B5BAC">
            <w:pPr>
              <w:jc w:val="center"/>
              <w:rPr>
                <w:sz w:val="18"/>
                <w:szCs w:val="18"/>
              </w:rPr>
            </w:pPr>
            <w:r w:rsidRPr="00785515">
              <w:rPr>
                <w:sz w:val="18"/>
                <w:szCs w:val="18"/>
              </w:rPr>
              <w:t>2</w:t>
            </w:r>
          </w:p>
        </w:tc>
        <w:tc>
          <w:tcPr>
            <w:tcW w:w="1185" w:type="dxa"/>
            <w:vAlign w:val="center"/>
          </w:tcPr>
          <w:p w:rsidR="00E90179" w:rsidRPr="00785515" w:rsidRDefault="00E90179" w:rsidP="004B5BAC">
            <w:pPr>
              <w:widowControl/>
              <w:jc w:val="center"/>
              <w:rPr>
                <w:sz w:val="18"/>
                <w:szCs w:val="18"/>
              </w:rPr>
            </w:pPr>
            <w:r w:rsidRPr="00785515">
              <w:rPr>
                <w:sz w:val="18"/>
                <w:szCs w:val="18"/>
              </w:rPr>
              <w:t>17</w:t>
            </w:r>
          </w:p>
        </w:tc>
        <w:tc>
          <w:tcPr>
            <w:tcW w:w="1185" w:type="dxa"/>
            <w:vAlign w:val="center"/>
          </w:tcPr>
          <w:p w:rsidR="00E90179" w:rsidRPr="00785515" w:rsidRDefault="00E90179" w:rsidP="004B5BAC">
            <w:pPr>
              <w:jc w:val="center"/>
              <w:rPr>
                <w:sz w:val="18"/>
                <w:szCs w:val="18"/>
              </w:rPr>
            </w:pPr>
            <w:r w:rsidRPr="00785515">
              <w:rPr>
                <w:sz w:val="18"/>
                <w:szCs w:val="18"/>
              </w:rPr>
              <w:t>20</w:t>
            </w:r>
          </w:p>
        </w:tc>
        <w:tc>
          <w:tcPr>
            <w:tcW w:w="1645" w:type="dxa"/>
            <w:vAlign w:val="center"/>
          </w:tcPr>
          <w:p w:rsidR="00E90179" w:rsidRPr="00785515" w:rsidRDefault="00E90179" w:rsidP="004B5BAC">
            <w:pPr>
              <w:jc w:val="center"/>
              <w:rPr>
                <w:sz w:val="18"/>
                <w:szCs w:val="18"/>
              </w:rPr>
            </w:pPr>
            <w:r w:rsidRPr="00785515">
              <w:rPr>
                <w:sz w:val="18"/>
                <w:szCs w:val="18"/>
              </w:rPr>
              <w:t>27.5</w:t>
            </w:r>
          </w:p>
        </w:tc>
      </w:tr>
      <w:tr w:rsidR="00E90179" w:rsidRPr="00785515" w:rsidTr="0035189F">
        <w:tc>
          <w:tcPr>
            <w:tcW w:w="1361" w:type="dxa"/>
          </w:tcPr>
          <w:p w:rsidR="00E90179" w:rsidRDefault="00E90179" w:rsidP="004B5BAC">
            <w:pPr>
              <w:rPr>
                <w:sz w:val="18"/>
                <w:szCs w:val="18"/>
              </w:rPr>
            </w:pPr>
            <w:r>
              <w:rPr>
                <w:rFonts w:hint="eastAsia"/>
                <w:sz w:val="18"/>
                <w:szCs w:val="18"/>
              </w:rPr>
              <w:lastRenderedPageBreak/>
              <w:t>现金</w:t>
            </w:r>
          </w:p>
        </w:tc>
        <w:tc>
          <w:tcPr>
            <w:tcW w:w="1185" w:type="dxa"/>
            <w:vAlign w:val="center"/>
          </w:tcPr>
          <w:p w:rsidR="00E90179" w:rsidRPr="00785515" w:rsidRDefault="00E90179" w:rsidP="004B5BAC">
            <w:pPr>
              <w:jc w:val="center"/>
              <w:rPr>
                <w:sz w:val="18"/>
                <w:szCs w:val="18"/>
              </w:rPr>
            </w:pPr>
            <w:r w:rsidRPr="00785515">
              <w:rPr>
                <w:sz w:val="18"/>
                <w:szCs w:val="18"/>
              </w:rPr>
              <w:t>10</w:t>
            </w:r>
          </w:p>
        </w:tc>
        <w:tc>
          <w:tcPr>
            <w:tcW w:w="1185" w:type="dxa"/>
            <w:vAlign w:val="center"/>
          </w:tcPr>
          <w:p w:rsidR="00E90179" w:rsidRPr="00785515" w:rsidRDefault="00E90179" w:rsidP="004B5BAC">
            <w:pPr>
              <w:jc w:val="center"/>
              <w:rPr>
                <w:sz w:val="18"/>
                <w:szCs w:val="18"/>
              </w:rPr>
            </w:pPr>
            <w:r w:rsidRPr="00785515">
              <w:rPr>
                <w:sz w:val="18"/>
                <w:szCs w:val="18"/>
              </w:rPr>
              <w:t>3</w:t>
            </w:r>
          </w:p>
        </w:tc>
        <w:tc>
          <w:tcPr>
            <w:tcW w:w="1185" w:type="dxa"/>
            <w:vAlign w:val="center"/>
          </w:tcPr>
          <w:p w:rsidR="00E90179" w:rsidRPr="00785515" w:rsidRDefault="00E90179" w:rsidP="004B5BAC">
            <w:pPr>
              <w:jc w:val="center"/>
              <w:rPr>
                <w:sz w:val="18"/>
                <w:szCs w:val="18"/>
              </w:rPr>
            </w:pPr>
            <w:r w:rsidRPr="00785515">
              <w:rPr>
                <w:sz w:val="18"/>
                <w:szCs w:val="18"/>
              </w:rPr>
              <w:t>10</w:t>
            </w:r>
          </w:p>
        </w:tc>
        <w:tc>
          <w:tcPr>
            <w:tcW w:w="1185" w:type="dxa"/>
            <w:vAlign w:val="center"/>
          </w:tcPr>
          <w:p w:rsidR="00E90179" w:rsidRPr="00785515" w:rsidRDefault="00E90179" w:rsidP="004B5BAC">
            <w:pPr>
              <w:jc w:val="center"/>
              <w:rPr>
                <w:sz w:val="18"/>
                <w:szCs w:val="18"/>
              </w:rPr>
            </w:pPr>
            <w:r w:rsidRPr="00785515">
              <w:rPr>
                <w:sz w:val="18"/>
                <w:szCs w:val="18"/>
              </w:rPr>
              <w:t>13</w:t>
            </w:r>
          </w:p>
        </w:tc>
        <w:tc>
          <w:tcPr>
            <w:tcW w:w="1185" w:type="dxa"/>
            <w:vAlign w:val="center"/>
          </w:tcPr>
          <w:p w:rsidR="00E90179" w:rsidRPr="00785515" w:rsidRDefault="00E90179" w:rsidP="004B5BAC">
            <w:pPr>
              <w:jc w:val="center"/>
              <w:rPr>
                <w:sz w:val="18"/>
                <w:szCs w:val="18"/>
              </w:rPr>
            </w:pPr>
            <w:r w:rsidRPr="00785515">
              <w:rPr>
                <w:sz w:val="18"/>
                <w:szCs w:val="18"/>
              </w:rPr>
              <w:t>13.5</w:t>
            </w:r>
          </w:p>
        </w:tc>
        <w:tc>
          <w:tcPr>
            <w:tcW w:w="1645" w:type="dxa"/>
            <w:vAlign w:val="center"/>
          </w:tcPr>
          <w:p w:rsidR="00E90179" w:rsidRPr="00785515" w:rsidRDefault="00E90179" w:rsidP="004B5BAC">
            <w:pPr>
              <w:jc w:val="center"/>
              <w:rPr>
                <w:sz w:val="18"/>
                <w:szCs w:val="18"/>
              </w:rPr>
            </w:pPr>
            <w:r w:rsidRPr="00785515">
              <w:rPr>
                <w:sz w:val="18"/>
                <w:szCs w:val="18"/>
              </w:rPr>
              <w:t>25</w:t>
            </w:r>
          </w:p>
        </w:tc>
      </w:tr>
      <w:tr w:rsidR="00E90179" w:rsidRPr="00785515" w:rsidTr="0035189F">
        <w:tc>
          <w:tcPr>
            <w:tcW w:w="1361" w:type="dxa"/>
          </w:tcPr>
          <w:p w:rsidR="00E90179" w:rsidRDefault="00E90179" w:rsidP="004B5BAC">
            <w:pPr>
              <w:rPr>
                <w:sz w:val="18"/>
                <w:szCs w:val="18"/>
              </w:rPr>
            </w:pPr>
            <w:r>
              <w:rPr>
                <w:rFonts w:hint="eastAsia"/>
                <w:sz w:val="18"/>
                <w:szCs w:val="18"/>
              </w:rPr>
              <w:t>其他资产</w:t>
            </w:r>
          </w:p>
        </w:tc>
        <w:tc>
          <w:tcPr>
            <w:tcW w:w="1185" w:type="dxa"/>
            <w:vAlign w:val="center"/>
          </w:tcPr>
          <w:p w:rsidR="00E90179" w:rsidRPr="00785515" w:rsidRDefault="00E90179" w:rsidP="004B5BAC">
            <w:pPr>
              <w:jc w:val="center"/>
              <w:rPr>
                <w:sz w:val="18"/>
                <w:szCs w:val="18"/>
              </w:rPr>
            </w:pPr>
            <w:r w:rsidRPr="00785515">
              <w:rPr>
                <w:sz w:val="18"/>
                <w:szCs w:val="18"/>
              </w:rPr>
              <w:t>0</w:t>
            </w:r>
          </w:p>
        </w:tc>
        <w:tc>
          <w:tcPr>
            <w:tcW w:w="1185" w:type="dxa"/>
            <w:vAlign w:val="center"/>
          </w:tcPr>
          <w:p w:rsidR="00E90179" w:rsidRPr="00785515" w:rsidRDefault="00E90179" w:rsidP="004B5BAC">
            <w:pPr>
              <w:jc w:val="center"/>
              <w:rPr>
                <w:sz w:val="18"/>
                <w:szCs w:val="18"/>
              </w:rPr>
            </w:pPr>
            <w:r w:rsidRPr="00785515">
              <w:rPr>
                <w:sz w:val="18"/>
                <w:szCs w:val="18"/>
              </w:rPr>
              <w:t>0</w:t>
            </w:r>
          </w:p>
        </w:tc>
        <w:tc>
          <w:tcPr>
            <w:tcW w:w="1185" w:type="dxa"/>
          </w:tcPr>
          <w:p w:rsidR="00E90179" w:rsidRPr="00785515" w:rsidRDefault="00E90179" w:rsidP="004B5BAC">
            <w:pPr>
              <w:jc w:val="center"/>
              <w:rPr>
                <w:sz w:val="18"/>
                <w:szCs w:val="18"/>
              </w:rPr>
            </w:pPr>
          </w:p>
        </w:tc>
        <w:tc>
          <w:tcPr>
            <w:tcW w:w="1185" w:type="dxa"/>
          </w:tcPr>
          <w:p w:rsidR="00E90179" w:rsidRPr="00785515" w:rsidRDefault="00E90179" w:rsidP="004B5BAC">
            <w:pPr>
              <w:jc w:val="center"/>
              <w:rPr>
                <w:sz w:val="18"/>
                <w:szCs w:val="18"/>
              </w:rPr>
            </w:pPr>
          </w:p>
        </w:tc>
        <w:tc>
          <w:tcPr>
            <w:tcW w:w="1185" w:type="dxa"/>
            <w:vAlign w:val="center"/>
          </w:tcPr>
          <w:p w:rsidR="00E90179" w:rsidRPr="00785515" w:rsidRDefault="00E90179" w:rsidP="004B5BAC">
            <w:pPr>
              <w:jc w:val="center"/>
              <w:rPr>
                <w:sz w:val="18"/>
                <w:szCs w:val="18"/>
              </w:rPr>
            </w:pPr>
            <w:r w:rsidRPr="00785515">
              <w:rPr>
                <w:sz w:val="18"/>
                <w:szCs w:val="18"/>
              </w:rPr>
              <w:t>0</w:t>
            </w:r>
          </w:p>
        </w:tc>
        <w:tc>
          <w:tcPr>
            <w:tcW w:w="1645" w:type="dxa"/>
            <w:vAlign w:val="center"/>
          </w:tcPr>
          <w:p w:rsidR="00E90179" w:rsidRPr="00785515" w:rsidRDefault="00E90179" w:rsidP="004B5BAC">
            <w:pPr>
              <w:jc w:val="center"/>
              <w:rPr>
                <w:sz w:val="18"/>
                <w:szCs w:val="18"/>
              </w:rPr>
            </w:pPr>
            <w:r w:rsidRPr="00785515">
              <w:rPr>
                <w:sz w:val="18"/>
                <w:szCs w:val="18"/>
              </w:rPr>
              <w:t>0</w:t>
            </w:r>
          </w:p>
        </w:tc>
      </w:tr>
    </w:tbl>
    <w:p w:rsidR="00E90179" w:rsidRDefault="00461283" w:rsidP="00E90179">
      <w:r>
        <w:rPr>
          <w:rFonts w:hint="eastAsia"/>
        </w:rPr>
        <w:t>资料</w:t>
      </w:r>
      <w:r w:rsidR="00E90179">
        <w:t>来源：</w:t>
      </w:r>
      <w:r w:rsidR="0035189F" w:rsidRPr="0035189F">
        <w:t>www.australiansuper.com</w:t>
      </w:r>
      <w:r w:rsidR="0035189F">
        <w:rPr>
          <w:rFonts w:hint="eastAsia"/>
        </w:rPr>
        <w:t>。</w:t>
      </w:r>
    </w:p>
    <w:p w:rsidR="00E90179" w:rsidRPr="00E90179" w:rsidRDefault="00E90179" w:rsidP="00E90179">
      <w:pPr>
        <w:ind w:firstLine="420"/>
      </w:pPr>
    </w:p>
    <w:p w:rsidR="00DD79C8" w:rsidRDefault="00CB54AA" w:rsidP="00B346B1">
      <w:r>
        <w:rPr>
          <w:rFonts w:hint="eastAsia"/>
        </w:rPr>
        <w:t>澳大利亚</w:t>
      </w:r>
      <w:r>
        <w:t>超级年金的投资范围广泛，且权益类资产配比较高，充分的发挥了养老基金长期投资和权益投资的特点。</w:t>
      </w:r>
      <w:r>
        <w:rPr>
          <w:rFonts w:hint="eastAsia"/>
        </w:rPr>
        <w:t>具体来</w:t>
      </w:r>
      <w:r>
        <w:t>看，</w:t>
      </w:r>
      <w:r>
        <w:rPr>
          <w:rFonts w:hint="eastAsia"/>
        </w:rPr>
        <w:t>澳大利亚</w:t>
      </w:r>
      <w:r>
        <w:t>超级年金的投资</w:t>
      </w:r>
      <w:r>
        <w:rPr>
          <w:rFonts w:hint="eastAsia"/>
        </w:rPr>
        <w:t>有以下</w:t>
      </w:r>
      <w:r>
        <w:t>几个特点</w:t>
      </w:r>
      <w:r w:rsidR="00C929B6">
        <w:rPr>
          <w:rFonts w:hint="eastAsia"/>
        </w:rPr>
        <w:t>：</w:t>
      </w:r>
    </w:p>
    <w:p w:rsidR="00882E75" w:rsidRDefault="00882E75" w:rsidP="00882E75"/>
    <w:p w:rsidR="00DD79C8" w:rsidRDefault="00CB54AA" w:rsidP="0035189F">
      <w:pPr>
        <w:pStyle w:val="a3"/>
        <w:numPr>
          <w:ilvl w:val="0"/>
          <w:numId w:val="3"/>
        </w:numPr>
        <w:ind w:firstLineChars="0"/>
      </w:pPr>
      <w:r>
        <w:t>策略较为积极，</w:t>
      </w:r>
      <w:r>
        <w:rPr>
          <w:rFonts w:hint="eastAsia"/>
        </w:rPr>
        <w:t>股票投资占比</w:t>
      </w:r>
      <w:r>
        <w:t>较大，</w:t>
      </w:r>
      <w:r>
        <w:rPr>
          <w:rFonts w:hint="eastAsia"/>
        </w:rPr>
        <w:t>超过</w:t>
      </w:r>
      <w:r>
        <w:t>整个</w:t>
      </w:r>
      <w:r>
        <w:rPr>
          <w:rFonts w:hint="eastAsia"/>
        </w:rPr>
        <w:t>基金</w:t>
      </w:r>
      <w:r>
        <w:t>资产的</w:t>
      </w:r>
      <w:r>
        <w:rPr>
          <w:rFonts w:hint="eastAsia"/>
        </w:rPr>
        <w:t>50</w:t>
      </w:r>
      <w:r>
        <w:t>%</w:t>
      </w:r>
      <w:r>
        <w:rPr>
          <w:rFonts w:hint="eastAsia"/>
        </w:rPr>
        <w:t>，固收</w:t>
      </w:r>
      <w:r>
        <w:t>类投资</w:t>
      </w:r>
      <w:r>
        <w:rPr>
          <w:rFonts w:hint="eastAsia"/>
        </w:rPr>
        <w:t>占比</w:t>
      </w:r>
      <w:r>
        <w:t>超过</w:t>
      </w:r>
      <w:r>
        <w:rPr>
          <w:rFonts w:hint="eastAsia"/>
        </w:rPr>
        <w:t>20</w:t>
      </w:r>
      <w:r>
        <w:t>%</w:t>
      </w:r>
      <w:r>
        <w:rPr>
          <w:rFonts w:hint="eastAsia"/>
        </w:rPr>
        <w:t>，</w:t>
      </w:r>
      <w:r>
        <w:t>现金类资产占比超过</w:t>
      </w:r>
      <w:r>
        <w:rPr>
          <w:rFonts w:hint="eastAsia"/>
        </w:rPr>
        <w:t>10</w:t>
      </w:r>
      <w:r>
        <w:t>%</w:t>
      </w:r>
      <w:r>
        <w:rPr>
          <w:rFonts w:hint="eastAsia"/>
        </w:rPr>
        <w:t>，</w:t>
      </w:r>
      <w:r>
        <w:t>三类</w:t>
      </w:r>
      <w:r>
        <w:rPr>
          <w:rFonts w:hint="eastAsia"/>
        </w:rPr>
        <w:t>传统型</w:t>
      </w:r>
      <w:r>
        <w:t>投资工具占</w:t>
      </w:r>
      <w:r>
        <w:rPr>
          <w:rFonts w:hint="eastAsia"/>
        </w:rPr>
        <w:t>整个</w:t>
      </w:r>
      <w:r>
        <w:t>基金比例</w:t>
      </w:r>
      <w:r w:rsidR="00A05BE5">
        <w:rPr>
          <w:rFonts w:hint="eastAsia"/>
        </w:rPr>
        <w:t>的</w:t>
      </w:r>
      <w:r>
        <w:rPr>
          <w:rFonts w:hint="eastAsia"/>
        </w:rPr>
        <w:t>83</w:t>
      </w:r>
      <w:r>
        <w:t>%</w:t>
      </w:r>
      <w:r>
        <w:t>。</w:t>
      </w:r>
    </w:p>
    <w:p w:rsidR="00882E75" w:rsidRDefault="00882E75" w:rsidP="00882E75">
      <w:pPr>
        <w:pStyle w:val="a3"/>
        <w:ind w:left="720" w:firstLineChars="0" w:firstLine="0"/>
      </w:pPr>
    </w:p>
    <w:p w:rsidR="00DD79C8" w:rsidRDefault="00CB54AA" w:rsidP="0035189F">
      <w:pPr>
        <w:pStyle w:val="a3"/>
        <w:numPr>
          <w:ilvl w:val="0"/>
          <w:numId w:val="3"/>
        </w:numPr>
        <w:ind w:firstLineChars="0"/>
      </w:pPr>
      <w:r>
        <w:rPr>
          <w:rFonts w:hint="eastAsia"/>
        </w:rPr>
        <w:t>超级</w:t>
      </w:r>
      <w:r w:rsidR="0032034F">
        <w:t>年金</w:t>
      </w:r>
      <w:r w:rsidR="0032034F">
        <w:rPr>
          <w:rFonts w:hint="eastAsia"/>
        </w:rPr>
        <w:t>投资</w:t>
      </w:r>
      <w:r w:rsidR="0032034F">
        <w:t>包括一部分的</w:t>
      </w:r>
      <w:r>
        <w:t>非标资产，合计</w:t>
      </w:r>
      <w:r>
        <w:rPr>
          <w:rFonts w:hint="eastAsia"/>
        </w:rPr>
        <w:t>13.3</w:t>
      </w:r>
      <w:r>
        <w:t>%</w:t>
      </w:r>
      <w:r>
        <w:t>的房地产和基建投资</w:t>
      </w:r>
      <w:r>
        <w:rPr>
          <w:rFonts w:hint="eastAsia"/>
        </w:rPr>
        <w:t>。</w:t>
      </w:r>
    </w:p>
    <w:p w:rsidR="00882E75" w:rsidRDefault="00882E75" w:rsidP="00882E75">
      <w:pPr>
        <w:pStyle w:val="a3"/>
      </w:pPr>
    </w:p>
    <w:p w:rsidR="00DD79C8" w:rsidRDefault="00CB54AA" w:rsidP="0035189F">
      <w:pPr>
        <w:pStyle w:val="a3"/>
        <w:numPr>
          <w:ilvl w:val="0"/>
          <w:numId w:val="3"/>
        </w:numPr>
        <w:ind w:firstLineChars="0"/>
      </w:pPr>
      <w:r>
        <w:t>超级年金</w:t>
      </w:r>
      <w:r>
        <w:rPr>
          <w:rFonts w:hint="eastAsia"/>
        </w:rPr>
        <w:t>有</w:t>
      </w:r>
      <w:r>
        <w:t>相当一部分的海外投资，</w:t>
      </w:r>
      <w:r w:rsidR="00544309">
        <w:rPr>
          <w:rFonts w:hint="eastAsia"/>
        </w:rPr>
        <w:t xml:space="preserve"> </w:t>
      </w:r>
      <w:r>
        <w:rPr>
          <w:rFonts w:hint="eastAsia"/>
        </w:rPr>
        <w:t>51.52</w:t>
      </w:r>
      <w:r>
        <w:t>%</w:t>
      </w:r>
      <w:r>
        <w:t>股权类资产中</w:t>
      </w:r>
      <w:r>
        <w:rPr>
          <w:rFonts w:hint="eastAsia"/>
        </w:rPr>
        <w:t>海外</w:t>
      </w:r>
      <w:r>
        <w:t>投资</w:t>
      </w:r>
      <w:r>
        <w:rPr>
          <w:rFonts w:hint="eastAsia"/>
        </w:rPr>
        <w:t>为</w:t>
      </w:r>
      <w:r>
        <w:rPr>
          <w:rFonts w:hint="eastAsia"/>
        </w:rPr>
        <w:t>23.91</w:t>
      </w:r>
      <w:r>
        <w:t>%</w:t>
      </w:r>
      <w:r w:rsidR="00544309">
        <w:rPr>
          <w:rFonts w:hint="eastAsia"/>
        </w:rPr>
        <w:t>，</w:t>
      </w:r>
      <w:r w:rsidR="00544309">
        <w:rPr>
          <w:rFonts w:hint="eastAsia"/>
        </w:rPr>
        <w:t xml:space="preserve"> </w:t>
      </w:r>
      <w:r>
        <w:rPr>
          <w:rFonts w:hint="eastAsia"/>
        </w:rPr>
        <w:t>2017</w:t>
      </w:r>
      <w:r>
        <w:rPr>
          <w:rFonts w:hint="eastAsia"/>
        </w:rPr>
        <w:t>年</w:t>
      </w:r>
      <w:r>
        <w:t>底的海外投资额达到了</w:t>
      </w:r>
      <w:r>
        <w:rPr>
          <w:rFonts w:hint="eastAsia"/>
        </w:rPr>
        <w:t>5393.17</w:t>
      </w:r>
      <w:r>
        <w:rPr>
          <w:rFonts w:hint="eastAsia"/>
        </w:rPr>
        <w:t>亿</w:t>
      </w:r>
      <w:r>
        <w:t>澳元，占超级年金</w:t>
      </w:r>
      <w:r w:rsidR="0032034F">
        <w:rPr>
          <w:rFonts w:hint="eastAsia"/>
        </w:rPr>
        <w:t>总投资</w:t>
      </w:r>
      <w:r w:rsidR="0032034F">
        <w:t>的</w:t>
      </w:r>
      <w:r>
        <w:rPr>
          <w:rFonts w:hint="eastAsia"/>
        </w:rPr>
        <w:t>33.01</w:t>
      </w:r>
      <w:r>
        <w:t>%</w:t>
      </w:r>
      <w:r>
        <w:rPr>
          <w:rFonts w:hint="eastAsia"/>
        </w:rPr>
        <w:t>。</w:t>
      </w:r>
      <w:r>
        <w:t>而且</w:t>
      </w:r>
      <w:r>
        <w:rPr>
          <w:rFonts w:hint="eastAsia"/>
        </w:rPr>
        <w:t>，海外</w:t>
      </w:r>
      <w:r>
        <w:t>投资中有相当比例的</w:t>
      </w:r>
      <w:r>
        <w:rPr>
          <w:rFonts w:hint="eastAsia"/>
        </w:rPr>
        <w:t>投资</w:t>
      </w:r>
      <w:r>
        <w:t>做了货币对冲，分散</w:t>
      </w:r>
      <w:r>
        <w:rPr>
          <w:rFonts w:hint="eastAsia"/>
        </w:rPr>
        <w:t>了</w:t>
      </w:r>
      <w:r>
        <w:t>汇率风险。</w:t>
      </w:r>
    </w:p>
    <w:p w:rsidR="00DC243E" w:rsidRDefault="00DC243E" w:rsidP="00DC243E">
      <w:pPr>
        <w:pStyle w:val="a3"/>
      </w:pPr>
    </w:p>
    <w:p w:rsidR="00CB54AA" w:rsidRDefault="00CB54AA" w:rsidP="0035189F">
      <w:pPr>
        <w:pStyle w:val="a3"/>
        <w:numPr>
          <w:ilvl w:val="0"/>
          <w:numId w:val="3"/>
        </w:numPr>
        <w:ind w:firstLineChars="0"/>
      </w:pPr>
      <w:r>
        <w:rPr>
          <w:rFonts w:hint="eastAsia"/>
        </w:rPr>
        <w:t>基金大约</w:t>
      </w:r>
      <w:r>
        <w:t>有</w:t>
      </w:r>
      <w:r>
        <w:rPr>
          <w:rFonts w:hint="eastAsia"/>
        </w:rPr>
        <w:t>10</w:t>
      </w:r>
      <w:r>
        <w:t>%</w:t>
      </w:r>
      <w:r>
        <w:t>的货币类</w:t>
      </w:r>
      <w:r>
        <w:rPr>
          <w:rFonts w:hint="eastAsia"/>
        </w:rPr>
        <w:t>资产</w:t>
      </w:r>
      <w:r>
        <w:t>的投资，</w:t>
      </w:r>
      <w:r>
        <w:rPr>
          <w:rFonts w:hint="eastAsia"/>
        </w:rPr>
        <w:t>充分</w:t>
      </w:r>
      <w:r>
        <w:t>考虑了流动性问题</w:t>
      </w:r>
      <w:r w:rsidR="00E408D2">
        <w:rPr>
          <w:rFonts w:hint="eastAsia"/>
        </w:rPr>
        <w:t>（见表</w:t>
      </w:r>
      <w:r w:rsidR="00E408D2">
        <w:rPr>
          <w:rFonts w:hint="eastAsia"/>
        </w:rPr>
        <w:t>6</w:t>
      </w:r>
      <w:r w:rsidR="00E408D2">
        <w:rPr>
          <w:rFonts w:hint="eastAsia"/>
        </w:rPr>
        <w:t>）</w:t>
      </w:r>
      <w:r>
        <w:t>。</w:t>
      </w:r>
    </w:p>
    <w:p w:rsidR="00E408D2" w:rsidRDefault="00E408D2" w:rsidP="00E408D2"/>
    <w:p w:rsidR="006A7805" w:rsidRPr="0035189F" w:rsidRDefault="006A7805" w:rsidP="004002FA">
      <w:pPr>
        <w:pStyle w:val="af"/>
        <w:keepNext/>
        <w:jc w:val="center"/>
        <w:rPr>
          <w:b/>
        </w:rPr>
      </w:pPr>
      <w:r w:rsidRPr="0035189F">
        <w:rPr>
          <w:rFonts w:hint="eastAsia"/>
          <w:b/>
        </w:rPr>
        <w:t>表</w:t>
      </w:r>
      <w:r w:rsidRPr="0035189F">
        <w:rPr>
          <w:rFonts w:hint="eastAsia"/>
          <w:b/>
        </w:rPr>
        <w:t xml:space="preserve"> </w:t>
      </w:r>
      <w:r w:rsidR="009D2541" w:rsidRPr="0035189F">
        <w:rPr>
          <w:b/>
        </w:rPr>
        <w:fldChar w:fldCharType="begin"/>
      </w:r>
      <w:r w:rsidRPr="0035189F">
        <w:rPr>
          <w:b/>
        </w:rPr>
        <w:instrText xml:space="preserve"> </w:instrText>
      </w:r>
      <w:r w:rsidRPr="0035189F">
        <w:rPr>
          <w:rFonts w:hint="eastAsia"/>
          <w:b/>
        </w:rPr>
        <w:instrText xml:space="preserve">SEQ </w:instrText>
      </w:r>
      <w:r w:rsidRPr="0035189F">
        <w:rPr>
          <w:rFonts w:hint="eastAsia"/>
          <w:b/>
        </w:rPr>
        <w:instrText>表</w:instrText>
      </w:r>
      <w:r w:rsidRPr="0035189F">
        <w:rPr>
          <w:rFonts w:hint="eastAsia"/>
          <w:b/>
        </w:rPr>
        <w:instrText xml:space="preserve"> \* ARABIC</w:instrText>
      </w:r>
      <w:r w:rsidRPr="0035189F">
        <w:rPr>
          <w:b/>
        </w:rPr>
        <w:instrText xml:space="preserve"> </w:instrText>
      </w:r>
      <w:r w:rsidR="009D2541" w:rsidRPr="0035189F">
        <w:rPr>
          <w:b/>
        </w:rPr>
        <w:fldChar w:fldCharType="separate"/>
      </w:r>
      <w:r w:rsidR="003559DA" w:rsidRPr="0035189F">
        <w:rPr>
          <w:b/>
          <w:noProof/>
        </w:rPr>
        <w:t>6</w:t>
      </w:r>
      <w:r w:rsidR="009D2541" w:rsidRPr="0035189F">
        <w:rPr>
          <w:b/>
        </w:rPr>
        <w:fldChar w:fldCharType="end"/>
      </w:r>
      <w:r w:rsidRPr="0035189F">
        <w:rPr>
          <w:b/>
        </w:rPr>
        <w:t xml:space="preserve"> </w:t>
      </w:r>
      <w:r w:rsidRPr="0035189F">
        <w:rPr>
          <w:rFonts w:hint="eastAsia"/>
          <w:b/>
        </w:rPr>
        <w:t>澳大利亚超级年金</w:t>
      </w:r>
      <w:r w:rsidRPr="0035189F">
        <w:rPr>
          <w:rFonts w:hint="eastAsia"/>
          <w:b/>
        </w:rPr>
        <w:t>2017</w:t>
      </w:r>
      <w:r w:rsidRPr="0035189F">
        <w:rPr>
          <w:rFonts w:hint="eastAsia"/>
          <w:b/>
        </w:rPr>
        <w:t>年</w:t>
      </w:r>
      <w:r w:rsidRPr="0035189F">
        <w:rPr>
          <w:b/>
        </w:rPr>
        <w:t>投资情况</w:t>
      </w:r>
    </w:p>
    <w:p w:rsidR="00E408D2" w:rsidRDefault="00E408D2" w:rsidP="00E408D2">
      <w:pPr>
        <w:jc w:val="right"/>
      </w:pPr>
      <w:r>
        <w:rPr>
          <w:rFonts w:hint="eastAsia"/>
        </w:rPr>
        <w:t>单位：百万澳元，</w:t>
      </w:r>
      <w:r>
        <w:rPr>
          <w:rFonts w:hint="eastAsia"/>
        </w:rPr>
        <w:t>%</w:t>
      </w:r>
    </w:p>
    <w:p w:rsidR="00E408D2" w:rsidRPr="00E408D2" w:rsidRDefault="00E408D2" w:rsidP="00E408D2">
      <w:pPr>
        <w:jc w:val="right"/>
      </w:pPr>
    </w:p>
    <w:tbl>
      <w:tblPr>
        <w:tblStyle w:val="31"/>
        <w:tblW w:w="5000" w:type="pct"/>
        <w:jc w:val="center"/>
        <w:tblLook w:val="04A0"/>
      </w:tblPr>
      <w:tblGrid>
        <w:gridCol w:w="3731"/>
        <w:gridCol w:w="3463"/>
        <w:gridCol w:w="1328"/>
      </w:tblGrid>
      <w:tr w:rsidR="00B346B1" w:rsidRPr="008C58C6" w:rsidTr="0035189F">
        <w:trPr>
          <w:cnfStyle w:val="100000000000"/>
          <w:trHeight w:val="270"/>
          <w:jc w:val="center"/>
        </w:trPr>
        <w:tc>
          <w:tcPr>
            <w:cnfStyle w:val="001000000100"/>
            <w:tcW w:w="2189" w:type="pct"/>
            <w:tcBorders>
              <w:top w:val="single" w:sz="4" w:space="0" w:color="7F7F7F" w:themeColor="text1" w:themeTint="80"/>
              <w:right w:val="single" w:sz="4" w:space="0" w:color="7F7F7F" w:themeColor="text1" w:themeTint="80"/>
            </w:tcBorders>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超级年金的投资组合</w:t>
            </w:r>
          </w:p>
        </w:tc>
        <w:tc>
          <w:tcPr>
            <w:tcW w:w="2032" w:type="pct"/>
            <w:tcBorders>
              <w:top w:val="single" w:sz="4" w:space="0" w:color="7F7F7F" w:themeColor="text1" w:themeTint="80"/>
              <w:left w:val="single" w:sz="4" w:space="0" w:color="7F7F7F" w:themeColor="text1" w:themeTint="80"/>
              <w:right w:val="single" w:sz="4" w:space="0" w:color="7F7F7F" w:themeColor="text1" w:themeTint="80"/>
            </w:tcBorders>
            <w:hideMark/>
          </w:tcPr>
          <w:p w:rsidR="00B346B1" w:rsidRPr="008C58C6" w:rsidRDefault="00B346B1" w:rsidP="0035189F">
            <w:pPr>
              <w:widowControl/>
              <w:ind w:firstLineChars="100" w:firstLine="181"/>
              <w:jc w:val="center"/>
              <w:cnfStyle w:val="100000000000"/>
              <w:rPr>
                <w:rFonts w:ascii="宋体" w:eastAsia="宋体" w:hAnsi="宋体" w:cs="宋体"/>
                <w:kern w:val="0"/>
                <w:sz w:val="18"/>
                <w:szCs w:val="18"/>
              </w:rPr>
            </w:pPr>
            <w:r w:rsidRPr="008C58C6">
              <w:rPr>
                <w:rFonts w:ascii="宋体" w:eastAsia="宋体" w:hAnsi="宋体" w:cs="宋体" w:hint="eastAsia"/>
                <w:kern w:val="0"/>
                <w:sz w:val="18"/>
                <w:szCs w:val="18"/>
              </w:rPr>
              <w:t>资产规模</w:t>
            </w:r>
          </w:p>
        </w:tc>
        <w:tc>
          <w:tcPr>
            <w:tcW w:w="779" w:type="pct"/>
            <w:tcBorders>
              <w:top w:val="single" w:sz="4" w:space="0" w:color="7F7F7F" w:themeColor="text1" w:themeTint="80"/>
              <w:left w:val="single" w:sz="4" w:space="0" w:color="7F7F7F" w:themeColor="text1" w:themeTint="80"/>
            </w:tcBorders>
            <w:noWrap/>
            <w:hideMark/>
          </w:tcPr>
          <w:p w:rsidR="00B346B1" w:rsidRPr="008C58C6" w:rsidRDefault="00B346B1" w:rsidP="00707803">
            <w:pPr>
              <w:widowControl/>
              <w:jc w:val="center"/>
              <w:cnfStyle w:val="1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占比</w:t>
            </w:r>
          </w:p>
        </w:tc>
      </w:tr>
      <w:tr w:rsidR="00B346B1" w:rsidRPr="008C58C6" w:rsidTr="00E408D2">
        <w:trPr>
          <w:cnfStyle w:val="000000100000"/>
          <w:trHeight w:val="315"/>
          <w:jc w:val="center"/>
        </w:trPr>
        <w:tc>
          <w:tcPr>
            <w:cnfStyle w:val="001000000000"/>
            <w:tcW w:w="2189" w:type="pct"/>
            <w:tcBorders>
              <w:top w:val="single" w:sz="4" w:space="0" w:color="7F7F7F" w:themeColor="text1" w:themeTint="80"/>
            </w:tcBorders>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现金</w:t>
            </w:r>
          </w:p>
        </w:tc>
        <w:tc>
          <w:tcPr>
            <w:tcW w:w="2032" w:type="pct"/>
            <w:tcBorders>
              <w:top w:val="single" w:sz="4" w:space="0" w:color="7F7F7F" w:themeColor="text1" w:themeTint="80"/>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179</w:t>
            </w:r>
            <w:r w:rsidR="00B346B1" w:rsidRPr="008C58C6">
              <w:rPr>
                <w:rFonts w:ascii="Trebuchet MS" w:eastAsia="宋体" w:hAnsi="Trebuchet MS" w:cs="宋体"/>
                <w:kern w:val="0"/>
                <w:sz w:val="18"/>
                <w:szCs w:val="18"/>
              </w:rPr>
              <w:t>593</w:t>
            </w:r>
          </w:p>
        </w:tc>
        <w:tc>
          <w:tcPr>
            <w:tcW w:w="779" w:type="pct"/>
            <w:tcBorders>
              <w:top w:val="single" w:sz="4" w:space="0" w:color="7F7F7F" w:themeColor="text1" w:themeTint="80"/>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10.99</w:t>
            </w:r>
          </w:p>
        </w:tc>
      </w:tr>
      <w:tr w:rsidR="00B346B1" w:rsidRPr="008C58C6" w:rsidTr="00E408D2">
        <w:trPr>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固收类投资</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334</w:t>
            </w:r>
            <w:r w:rsidR="00B346B1" w:rsidRPr="008C58C6">
              <w:rPr>
                <w:rFonts w:ascii="Trebuchet MS" w:eastAsia="宋体" w:hAnsi="Trebuchet MS" w:cs="宋体"/>
                <w:kern w:val="0"/>
                <w:sz w:val="18"/>
                <w:szCs w:val="18"/>
              </w:rPr>
              <w:t>776</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20.49</w:t>
            </w:r>
          </w:p>
        </w:tc>
      </w:tr>
      <w:tr w:rsidR="00B346B1" w:rsidRPr="008C58C6" w:rsidTr="00E408D2">
        <w:trPr>
          <w:cnfStyle w:val="000000100000"/>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澳大利亚固收</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207</w:t>
            </w:r>
            <w:r w:rsidR="00B346B1" w:rsidRPr="008C58C6">
              <w:rPr>
                <w:rFonts w:ascii="Trebuchet MS" w:eastAsia="宋体" w:hAnsi="Trebuchet MS" w:cs="宋体"/>
                <w:kern w:val="0"/>
                <w:sz w:val="18"/>
                <w:szCs w:val="18"/>
              </w:rPr>
              <w:t>311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12.69</w:t>
            </w:r>
          </w:p>
        </w:tc>
      </w:tr>
      <w:tr w:rsidR="00B346B1" w:rsidRPr="008C58C6" w:rsidTr="00E408D2">
        <w:trPr>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海外固收</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127</w:t>
            </w:r>
            <w:r w:rsidR="00B346B1" w:rsidRPr="008C58C6">
              <w:rPr>
                <w:rFonts w:ascii="Trebuchet MS" w:eastAsia="宋体" w:hAnsi="Trebuchet MS" w:cs="宋体"/>
                <w:kern w:val="0"/>
                <w:sz w:val="18"/>
                <w:szCs w:val="18"/>
              </w:rPr>
              <w:t>465</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7.80</w:t>
            </w:r>
          </w:p>
        </w:tc>
      </w:tr>
      <w:tr w:rsidR="00B346B1" w:rsidRPr="008C58C6" w:rsidTr="00E408D2">
        <w:trPr>
          <w:cnfStyle w:val="000000100000"/>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货币对冲</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84</w:t>
            </w:r>
            <w:r w:rsidR="00B346B1" w:rsidRPr="008C58C6">
              <w:rPr>
                <w:rFonts w:ascii="Trebuchet MS" w:eastAsia="宋体" w:hAnsi="Trebuchet MS" w:cs="宋体"/>
                <w:kern w:val="0"/>
                <w:sz w:val="18"/>
                <w:szCs w:val="18"/>
              </w:rPr>
              <w:t>446</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5.17</w:t>
            </w:r>
          </w:p>
        </w:tc>
      </w:tr>
      <w:tr w:rsidR="00B346B1" w:rsidRPr="008C58C6" w:rsidTr="00E408D2">
        <w:trPr>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股权投资</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841</w:t>
            </w:r>
            <w:r w:rsidR="00B346B1" w:rsidRPr="008C58C6">
              <w:rPr>
                <w:rFonts w:ascii="Trebuchet MS" w:eastAsia="宋体" w:hAnsi="Trebuchet MS" w:cs="宋体"/>
                <w:kern w:val="0"/>
                <w:sz w:val="18"/>
                <w:szCs w:val="18"/>
              </w:rPr>
              <w:t>854</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51.52</w:t>
            </w:r>
          </w:p>
        </w:tc>
      </w:tr>
      <w:tr w:rsidR="00B346B1" w:rsidRPr="008C58C6" w:rsidTr="00E408D2">
        <w:trPr>
          <w:cnfStyle w:val="000000100000"/>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澳大利亚上市股权</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383</w:t>
            </w:r>
            <w:r w:rsidR="00B346B1" w:rsidRPr="008C58C6">
              <w:rPr>
                <w:rFonts w:ascii="Trebuchet MS" w:eastAsia="宋体" w:hAnsi="Trebuchet MS" w:cs="宋体"/>
                <w:kern w:val="0"/>
                <w:sz w:val="18"/>
                <w:szCs w:val="18"/>
              </w:rPr>
              <w:t>156</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23.45</w:t>
            </w:r>
          </w:p>
        </w:tc>
      </w:tr>
      <w:tr w:rsidR="00B346B1" w:rsidRPr="008C58C6" w:rsidTr="00E408D2">
        <w:trPr>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海外上市股权 </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390</w:t>
            </w:r>
            <w:r w:rsidR="00B346B1" w:rsidRPr="008C58C6">
              <w:rPr>
                <w:rFonts w:ascii="Trebuchet MS" w:eastAsia="宋体" w:hAnsi="Trebuchet MS" w:cs="宋体"/>
                <w:kern w:val="0"/>
                <w:sz w:val="18"/>
                <w:szCs w:val="18"/>
              </w:rPr>
              <w:t>731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23.91</w:t>
            </w:r>
          </w:p>
        </w:tc>
      </w:tr>
      <w:tr w:rsidR="00B346B1" w:rsidRPr="008C58C6" w:rsidTr="00E408D2">
        <w:trPr>
          <w:cnfStyle w:val="000000100000"/>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货币对冲</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116</w:t>
            </w:r>
            <w:r w:rsidR="00B346B1" w:rsidRPr="008C58C6">
              <w:rPr>
                <w:rFonts w:ascii="Trebuchet MS" w:eastAsia="宋体" w:hAnsi="Trebuchet MS" w:cs="宋体"/>
                <w:kern w:val="0"/>
                <w:sz w:val="18"/>
                <w:szCs w:val="18"/>
              </w:rPr>
              <w:t>387</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7.12</w:t>
            </w:r>
          </w:p>
        </w:tc>
      </w:tr>
      <w:tr w:rsidR="00B346B1" w:rsidRPr="008C58C6" w:rsidTr="00E408D2">
        <w:trPr>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非上市股权</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66</w:t>
            </w:r>
            <w:r w:rsidR="00B346B1" w:rsidRPr="008C58C6">
              <w:rPr>
                <w:rFonts w:ascii="Trebuchet MS" w:eastAsia="宋体" w:hAnsi="Trebuchet MS" w:cs="宋体"/>
                <w:kern w:val="0"/>
                <w:sz w:val="18"/>
                <w:szCs w:val="18"/>
              </w:rPr>
              <w:t>881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4.09</w:t>
            </w:r>
          </w:p>
        </w:tc>
      </w:tr>
      <w:tr w:rsidR="00B346B1" w:rsidRPr="008C58C6" w:rsidTr="00E408D2">
        <w:trPr>
          <w:cnfStyle w:val="000000100000"/>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地产投资</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136</w:t>
            </w:r>
            <w:r w:rsidR="00B346B1" w:rsidRPr="008C58C6">
              <w:rPr>
                <w:rFonts w:ascii="Trebuchet MS" w:eastAsia="宋体" w:hAnsi="Trebuchet MS" w:cs="宋体"/>
                <w:kern w:val="0"/>
                <w:sz w:val="18"/>
                <w:szCs w:val="18"/>
              </w:rPr>
              <w:t>251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8.34</w:t>
            </w:r>
          </w:p>
        </w:tc>
      </w:tr>
      <w:tr w:rsidR="00B346B1" w:rsidRPr="008C58C6" w:rsidTr="00E408D2">
        <w:trPr>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上市地产</w:t>
            </w:r>
          </w:p>
        </w:tc>
        <w:tc>
          <w:tcPr>
            <w:tcW w:w="2032" w:type="pct"/>
            <w:tcBorders>
              <w:right w:val="single" w:sz="4" w:space="0" w:color="7F7F7F" w:themeColor="text1" w:themeTint="80"/>
            </w:tcBorders>
            <w:shd w:val="clear" w:color="auto" w:fill="auto"/>
            <w:noWrap/>
            <w:hideMark/>
          </w:tcPr>
          <w:p w:rsidR="00B346B1" w:rsidRPr="008C58C6" w:rsidRDefault="00B346B1" w:rsidP="00707803">
            <w:pPr>
              <w:widowControl/>
              <w:ind w:firstLineChars="100" w:firstLine="180"/>
              <w:jc w:val="center"/>
              <w:cnfStyle w:val="000000000000"/>
              <w:rPr>
                <w:rFonts w:ascii="Trebuchet MS" w:eastAsia="宋体" w:hAnsi="Trebuchet MS" w:cs="宋体"/>
                <w:kern w:val="0"/>
                <w:sz w:val="18"/>
                <w:szCs w:val="18"/>
              </w:rPr>
            </w:pPr>
            <w:r w:rsidRPr="008C58C6">
              <w:rPr>
                <w:rFonts w:ascii="Trebuchet MS" w:eastAsia="宋体" w:hAnsi="Trebuchet MS" w:cs="宋体"/>
                <w:kern w:val="0"/>
                <w:sz w:val="18"/>
                <w:szCs w:val="18"/>
              </w:rPr>
              <w:t>52055</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3.19</w:t>
            </w:r>
          </w:p>
        </w:tc>
      </w:tr>
      <w:tr w:rsidR="00B346B1" w:rsidRPr="008C58C6" w:rsidTr="00E408D2">
        <w:trPr>
          <w:cnfStyle w:val="000000100000"/>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非上市地产</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82</w:t>
            </w:r>
            <w:r w:rsidR="00B346B1" w:rsidRPr="008C58C6">
              <w:rPr>
                <w:rFonts w:ascii="Trebuchet MS" w:eastAsia="宋体" w:hAnsi="Trebuchet MS" w:cs="宋体"/>
                <w:kern w:val="0"/>
                <w:sz w:val="18"/>
                <w:szCs w:val="18"/>
              </w:rPr>
              <w:t>741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5.06</w:t>
            </w:r>
          </w:p>
        </w:tc>
      </w:tr>
      <w:tr w:rsidR="00B346B1" w:rsidRPr="008C58C6" w:rsidTr="00E408D2">
        <w:trPr>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基建投资</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81</w:t>
            </w:r>
            <w:r w:rsidR="00B346B1" w:rsidRPr="008C58C6">
              <w:rPr>
                <w:rFonts w:ascii="Trebuchet MS" w:eastAsia="宋体" w:hAnsi="Trebuchet MS" w:cs="宋体"/>
                <w:kern w:val="0"/>
                <w:sz w:val="18"/>
                <w:szCs w:val="18"/>
              </w:rPr>
              <w:t>124</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4.96</w:t>
            </w:r>
          </w:p>
        </w:tc>
      </w:tr>
      <w:tr w:rsidR="00B346B1" w:rsidRPr="008C58C6" w:rsidTr="00E408D2">
        <w:trPr>
          <w:cnfStyle w:val="000000100000"/>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上市基建投资</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21</w:t>
            </w:r>
            <w:r w:rsidR="00B346B1" w:rsidRPr="008C58C6">
              <w:rPr>
                <w:rFonts w:ascii="Trebuchet MS" w:eastAsia="宋体" w:hAnsi="Trebuchet MS" w:cs="宋体"/>
                <w:kern w:val="0"/>
                <w:sz w:val="18"/>
                <w:szCs w:val="18"/>
              </w:rPr>
              <w:t>788</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1.33</w:t>
            </w:r>
          </w:p>
        </w:tc>
      </w:tr>
      <w:tr w:rsidR="00B346B1" w:rsidRPr="008C58C6" w:rsidTr="00E408D2">
        <w:trPr>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澳大利亚非上市基础</w:t>
            </w:r>
            <w:r w:rsidRPr="008C58C6">
              <w:rPr>
                <w:rFonts w:ascii="宋体" w:eastAsia="宋体" w:hAnsi="宋体" w:cs="宋体"/>
                <w:b w:val="0"/>
                <w:color w:val="000000"/>
                <w:kern w:val="0"/>
                <w:sz w:val="18"/>
                <w:szCs w:val="18"/>
              </w:rPr>
              <w:t>设施</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38</w:t>
            </w:r>
            <w:r w:rsidR="00B346B1" w:rsidRPr="008C58C6">
              <w:rPr>
                <w:rFonts w:ascii="Trebuchet MS" w:eastAsia="宋体" w:hAnsi="Trebuchet MS" w:cs="宋体"/>
                <w:kern w:val="0"/>
                <w:sz w:val="18"/>
                <w:szCs w:val="18"/>
              </w:rPr>
              <w:t>090</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2.33</w:t>
            </w:r>
          </w:p>
        </w:tc>
      </w:tr>
      <w:tr w:rsidR="00B346B1" w:rsidRPr="008C58C6" w:rsidTr="00E408D2">
        <w:trPr>
          <w:cnfStyle w:val="000000100000"/>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海外非上市基础设施</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21</w:t>
            </w:r>
            <w:r w:rsidR="00B346B1" w:rsidRPr="008C58C6">
              <w:rPr>
                <w:rFonts w:ascii="Trebuchet MS" w:eastAsia="宋体" w:hAnsi="Trebuchet MS" w:cs="宋体"/>
                <w:kern w:val="0"/>
                <w:sz w:val="18"/>
                <w:szCs w:val="18"/>
              </w:rPr>
              <w:t>121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1.29</w:t>
            </w:r>
          </w:p>
        </w:tc>
      </w:tr>
      <w:tr w:rsidR="00B346B1" w:rsidRPr="008C58C6" w:rsidTr="00E408D2">
        <w:trPr>
          <w:trHeight w:val="270"/>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b w:val="0"/>
                <w:color w:val="000000"/>
                <w:kern w:val="0"/>
                <w:sz w:val="18"/>
                <w:szCs w:val="18"/>
              </w:rPr>
              <w:t xml:space="preserve">    货币对冲</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12</w:t>
            </w:r>
            <w:r w:rsidR="00B346B1" w:rsidRPr="008C58C6">
              <w:rPr>
                <w:rFonts w:ascii="Trebuchet MS" w:eastAsia="宋体" w:hAnsi="Trebuchet MS" w:cs="宋体"/>
                <w:kern w:val="0"/>
                <w:sz w:val="18"/>
                <w:szCs w:val="18"/>
              </w:rPr>
              <w:t>215</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0.75</w:t>
            </w:r>
          </w:p>
        </w:tc>
      </w:tr>
      <w:tr w:rsidR="00B346B1" w:rsidRPr="008C58C6" w:rsidTr="00E408D2">
        <w:trPr>
          <w:cnfStyle w:val="000000100000"/>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期货</w:t>
            </w:r>
            <w:r w:rsidR="00CB54AA" w:rsidRPr="008C58C6">
              <w:rPr>
                <w:rFonts w:ascii="宋体" w:eastAsia="宋体" w:hAnsi="宋体" w:cs="宋体" w:hint="eastAsia"/>
                <w:color w:val="000000"/>
                <w:kern w:val="0"/>
                <w:sz w:val="18"/>
                <w:szCs w:val="18"/>
              </w:rPr>
              <w:t>和</w:t>
            </w:r>
            <w:r w:rsidRPr="008C58C6">
              <w:rPr>
                <w:rFonts w:ascii="宋体" w:eastAsia="宋体" w:hAnsi="宋体" w:cs="宋体" w:hint="eastAsia"/>
                <w:color w:val="000000"/>
                <w:kern w:val="0"/>
                <w:sz w:val="18"/>
                <w:szCs w:val="18"/>
              </w:rPr>
              <w:t>商品投资</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1</w:t>
            </w:r>
            <w:r w:rsidR="00B346B1" w:rsidRPr="008C58C6">
              <w:rPr>
                <w:rFonts w:ascii="Trebuchet MS" w:eastAsia="宋体" w:hAnsi="Trebuchet MS" w:cs="宋体"/>
                <w:kern w:val="0"/>
                <w:sz w:val="18"/>
                <w:szCs w:val="18"/>
              </w:rPr>
              <w:t>678</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0.10</w:t>
            </w:r>
          </w:p>
        </w:tc>
      </w:tr>
      <w:tr w:rsidR="00B346B1" w:rsidRPr="008C58C6" w:rsidTr="00E408D2">
        <w:trPr>
          <w:trHeight w:val="315"/>
          <w:jc w:val="center"/>
        </w:trPr>
        <w:tc>
          <w:tcPr>
            <w:cnfStyle w:val="001000000000"/>
            <w:tcW w:w="2189" w:type="pct"/>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其他</w:t>
            </w:r>
          </w:p>
        </w:tc>
        <w:tc>
          <w:tcPr>
            <w:tcW w:w="2032" w:type="pct"/>
            <w:tcBorders>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58</w:t>
            </w:r>
            <w:r w:rsidR="00B346B1" w:rsidRPr="008C58C6">
              <w:rPr>
                <w:rFonts w:ascii="Trebuchet MS" w:eastAsia="宋体" w:hAnsi="Trebuchet MS" w:cs="宋体"/>
                <w:kern w:val="0"/>
                <w:sz w:val="18"/>
                <w:szCs w:val="18"/>
              </w:rPr>
              <w:t>701</w:t>
            </w:r>
          </w:p>
        </w:tc>
        <w:tc>
          <w:tcPr>
            <w:tcW w:w="779" w:type="pct"/>
            <w:tcBorders>
              <w:left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3.59</w:t>
            </w:r>
          </w:p>
        </w:tc>
      </w:tr>
      <w:tr w:rsidR="00B346B1" w:rsidRPr="008C58C6" w:rsidTr="00E408D2">
        <w:trPr>
          <w:cnfStyle w:val="000000100000"/>
          <w:trHeight w:val="315"/>
          <w:jc w:val="center"/>
        </w:trPr>
        <w:tc>
          <w:tcPr>
            <w:cnfStyle w:val="001000000000"/>
            <w:tcW w:w="2189" w:type="pct"/>
            <w:tcBorders>
              <w:bottom w:val="single" w:sz="4" w:space="0" w:color="7F7F7F" w:themeColor="text1" w:themeTint="80"/>
            </w:tcBorders>
            <w:shd w:val="clear" w:color="auto" w:fill="auto"/>
            <w:noWrap/>
            <w:hideMark/>
          </w:tcPr>
          <w:p w:rsidR="00B346B1" w:rsidRPr="008C58C6" w:rsidRDefault="00B346B1" w:rsidP="00D25A6A">
            <w:pPr>
              <w:widowControl/>
              <w:jc w:val="left"/>
              <w:rPr>
                <w:rFonts w:ascii="宋体" w:eastAsia="宋体" w:hAnsi="宋体" w:cs="宋体"/>
                <w:b w:val="0"/>
                <w:color w:val="000000"/>
                <w:kern w:val="0"/>
                <w:sz w:val="18"/>
                <w:szCs w:val="18"/>
              </w:rPr>
            </w:pPr>
            <w:r w:rsidRPr="008C58C6">
              <w:rPr>
                <w:rFonts w:ascii="宋体" w:eastAsia="宋体" w:hAnsi="宋体" w:cs="宋体" w:hint="eastAsia"/>
                <w:color w:val="000000"/>
                <w:kern w:val="0"/>
                <w:sz w:val="18"/>
                <w:szCs w:val="18"/>
              </w:rPr>
              <w:t xml:space="preserve">  </w:t>
            </w:r>
            <w:r w:rsidRPr="008C58C6">
              <w:rPr>
                <w:rFonts w:ascii="宋体" w:eastAsia="宋体" w:hAnsi="宋体" w:cs="宋体" w:hint="eastAsia"/>
                <w:b w:val="0"/>
                <w:color w:val="000000"/>
                <w:kern w:val="0"/>
                <w:sz w:val="18"/>
                <w:szCs w:val="18"/>
              </w:rPr>
              <w:t>对冲基金</w:t>
            </w:r>
          </w:p>
        </w:tc>
        <w:tc>
          <w:tcPr>
            <w:tcW w:w="2032" w:type="pct"/>
            <w:tcBorders>
              <w:bottom w:val="single" w:sz="4" w:space="0" w:color="7F7F7F" w:themeColor="text1" w:themeTint="80"/>
              <w:right w:val="single" w:sz="4" w:space="0" w:color="7F7F7F" w:themeColor="text1" w:themeTint="80"/>
            </w:tcBorders>
            <w:shd w:val="clear" w:color="auto" w:fill="auto"/>
            <w:noWrap/>
            <w:hideMark/>
          </w:tcPr>
          <w:p w:rsidR="00B346B1" w:rsidRPr="008C58C6" w:rsidRDefault="0035189F" w:rsidP="00707803">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28</w:t>
            </w:r>
            <w:r w:rsidR="00B346B1" w:rsidRPr="008C58C6">
              <w:rPr>
                <w:rFonts w:ascii="Trebuchet MS" w:eastAsia="宋体" w:hAnsi="Trebuchet MS" w:cs="宋体"/>
                <w:kern w:val="0"/>
                <w:sz w:val="18"/>
                <w:szCs w:val="18"/>
              </w:rPr>
              <w:t>095</w:t>
            </w:r>
          </w:p>
        </w:tc>
        <w:tc>
          <w:tcPr>
            <w:tcW w:w="779" w:type="pct"/>
            <w:tcBorders>
              <w:left w:val="single" w:sz="4" w:space="0" w:color="7F7F7F" w:themeColor="text1" w:themeTint="80"/>
              <w:bottom w:val="single" w:sz="4" w:space="0" w:color="7F7F7F" w:themeColor="text1" w:themeTint="80"/>
            </w:tcBorders>
            <w:shd w:val="clear" w:color="auto" w:fill="auto"/>
            <w:noWrap/>
            <w:hideMark/>
          </w:tcPr>
          <w:p w:rsidR="00B346B1" w:rsidRPr="008C58C6" w:rsidRDefault="00B346B1" w:rsidP="00707803">
            <w:pPr>
              <w:widowControl/>
              <w:jc w:val="center"/>
              <w:cnfStyle w:val="0000001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1.72</w:t>
            </w:r>
          </w:p>
        </w:tc>
      </w:tr>
      <w:tr w:rsidR="00B346B1" w:rsidRPr="008C58C6" w:rsidTr="00E408D2">
        <w:trPr>
          <w:trHeight w:val="315"/>
          <w:jc w:val="center"/>
        </w:trPr>
        <w:tc>
          <w:tcPr>
            <w:cnfStyle w:val="001000000000"/>
            <w:tcW w:w="2189" w:type="pct"/>
            <w:tcBorders>
              <w:top w:val="single" w:sz="4" w:space="0" w:color="7F7F7F" w:themeColor="text1" w:themeTint="80"/>
              <w:bottom w:val="single" w:sz="4" w:space="0" w:color="7F7F7F" w:themeColor="text1" w:themeTint="80"/>
            </w:tcBorders>
            <w:shd w:val="clear" w:color="auto" w:fill="auto"/>
            <w:noWrap/>
            <w:hideMark/>
          </w:tcPr>
          <w:p w:rsidR="00B346B1" w:rsidRPr="008C58C6" w:rsidRDefault="00B346B1" w:rsidP="00D25A6A">
            <w:pPr>
              <w:widowControl/>
              <w:jc w:val="left"/>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总计</w:t>
            </w:r>
          </w:p>
        </w:tc>
        <w:tc>
          <w:tcPr>
            <w:tcW w:w="203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noWrap/>
            <w:hideMark/>
          </w:tcPr>
          <w:p w:rsidR="00B346B1" w:rsidRPr="008C58C6" w:rsidRDefault="0035189F" w:rsidP="00707803">
            <w:pPr>
              <w:widowControl/>
              <w:ind w:firstLineChars="100" w:firstLine="181"/>
              <w:jc w:val="center"/>
              <w:cnfStyle w:val="000000000000"/>
              <w:rPr>
                <w:rFonts w:ascii="Trebuchet MS" w:eastAsia="宋体" w:hAnsi="Trebuchet MS" w:cs="宋体"/>
                <w:b/>
                <w:bCs/>
                <w:kern w:val="0"/>
                <w:sz w:val="18"/>
                <w:szCs w:val="18"/>
              </w:rPr>
            </w:pPr>
            <w:r>
              <w:rPr>
                <w:rFonts w:ascii="Trebuchet MS" w:eastAsia="宋体" w:hAnsi="Trebuchet MS" w:cs="宋体"/>
                <w:b/>
                <w:bCs/>
                <w:kern w:val="0"/>
                <w:sz w:val="18"/>
                <w:szCs w:val="18"/>
              </w:rPr>
              <w:t>1633</w:t>
            </w:r>
            <w:r w:rsidR="00B346B1" w:rsidRPr="008C58C6">
              <w:rPr>
                <w:rFonts w:ascii="Trebuchet MS" w:eastAsia="宋体" w:hAnsi="Trebuchet MS" w:cs="宋体"/>
                <w:b/>
                <w:bCs/>
                <w:kern w:val="0"/>
                <w:sz w:val="18"/>
                <w:szCs w:val="18"/>
              </w:rPr>
              <w:t>978</w:t>
            </w:r>
          </w:p>
        </w:tc>
        <w:tc>
          <w:tcPr>
            <w:tcW w:w="779" w:type="pct"/>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noWrap/>
            <w:hideMark/>
          </w:tcPr>
          <w:p w:rsidR="00B346B1" w:rsidRPr="008C58C6" w:rsidRDefault="00B346B1" w:rsidP="00707803">
            <w:pPr>
              <w:widowControl/>
              <w:jc w:val="center"/>
              <w:cnfStyle w:val="000000000000"/>
              <w:rPr>
                <w:rFonts w:ascii="宋体" w:eastAsia="宋体" w:hAnsi="宋体" w:cs="宋体"/>
                <w:color w:val="000000"/>
                <w:kern w:val="0"/>
                <w:sz w:val="18"/>
                <w:szCs w:val="18"/>
              </w:rPr>
            </w:pPr>
            <w:r w:rsidRPr="008C58C6">
              <w:rPr>
                <w:rFonts w:ascii="宋体" w:eastAsia="宋体" w:hAnsi="宋体" w:cs="宋体" w:hint="eastAsia"/>
                <w:color w:val="000000"/>
                <w:kern w:val="0"/>
                <w:sz w:val="18"/>
                <w:szCs w:val="18"/>
              </w:rPr>
              <w:t>100.00</w:t>
            </w:r>
          </w:p>
        </w:tc>
      </w:tr>
    </w:tbl>
    <w:p w:rsidR="00E90179" w:rsidRPr="00E90179" w:rsidRDefault="00B346B1" w:rsidP="00B346B1">
      <w:pPr>
        <w:rPr>
          <w:sz w:val="18"/>
          <w:szCs w:val="18"/>
        </w:rPr>
      </w:pPr>
      <w:r>
        <w:lastRenderedPageBreak/>
        <w:tab/>
      </w:r>
      <w:r w:rsidR="00C51BC2">
        <w:rPr>
          <w:rFonts w:hint="eastAsia"/>
          <w:sz w:val="18"/>
          <w:szCs w:val="18"/>
        </w:rPr>
        <w:t>资料</w:t>
      </w:r>
      <w:r w:rsidRPr="00B346B1">
        <w:rPr>
          <w:sz w:val="18"/>
          <w:szCs w:val="18"/>
        </w:rPr>
        <w:t>来源：</w:t>
      </w:r>
      <w:r w:rsidR="0016490F" w:rsidRPr="0016490F">
        <w:rPr>
          <w:rFonts w:hint="eastAsia"/>
          <w:sz w:val="18"/>
          <w:szCs w:val="18"/>
        </w:rPr>
        <w:t xml:space="preserve">Quarterly Superannuation Performance </w:t>
      </w:r>
      <w:r w:rsidR="0016490F">
        <w:rPr>
          <w:sz w:val="18"/>
          <w:szCs w:val="18"/>
        </w:rPr>
        <w:t>DEC 2017</w:t>
      </w:r>
    </w:p>
    <w:p w:rsidR="00B346B1" w:rsidRPr="006C4ED4" w:rsidRDefault="00C51BC2" w:rsidP="006C4ED4">
      <w:pPr>
        <w:pStyle w:val="2"/>
        <w:rPr>
          <w:sz w:val="28"/>
          <w:szCs w:val="28"/>
        </w:rPr>
      </w:pPr>
      <w:r>
        <w:rPr>
          <w:rStyle w:val="2Char"/>
          <w:rFonts w:hint="eastAsia"/>
          <w:b/>
          <w:sz w:val="28"/>
          <w:szCs w:val="28"/>
        </w:rPr>
        <w:t>（三）</w:t>
      </w:r>
      <w:r w:rsidR="00B346B1" w:rsidRPr="006C4ED4">
        <w:rPr>
          <w:rFonts w:hint="eastAsia"/>
          <w:sz w:val="28"/>
          <w:szCs w:val="28"/>
        </w:rPr>
        <w:t>澳大利亚</w:t>
      </w:r>
      <w:r w:rsidR="00B346B1" w:rsidRPr="006C4ED4">
        <w:rPr>
          <w:sz w:val="28"/>
          <w:szCs w:val="28"/>
        </w:rPr>
        <w:t>超级年金的投资收益</w:t>
      </w:r>
    </w:p>
    <w:p w:rsidR="0035189F" w:rsidRDefault="00B346B1" w:rsidP="0035189F">
      <w:r>
        <w:rPr>
          <w:rFonts w:hint="eastAsia"/>
        </w:rPr>
        <w:t>澳大利亚</w:t>
      </w:r>
      <w:r>
        <w:t>超级年金有非常成熟的市场化经营</w:t>
      </w:r>
      <w:r w:rsidR="00F954C6">
        <w:rPr>
          <w:rFonts w:hint="eastAsia"/>
        </w:rPr>
        <w:t>模式</w:t>
      </w:r>
      <w:r>
        <w:t>，</w:t>
      </w:r>
      <w:r>
        <w:rPr>
          <w:rFonts w:hint="eastAsia"/>
        </w:rPr>
        <w:t>从</w:t>
      </w:r>
      <w:r>
        <w:t>整体投资收益来看，</w:t>
      </w:r>
      <w:r>
        <w:rPr>
          <w:rFonts w:hint="eastAsia"/>
        </w:rPr>
        <w:t>澳大利亚</w:t>
      </w:r>
      <w:r>
        <w:t>超级年金除去小型</w:t>
      </w:r>
      <w:r>
        <w:rPr>
          <w:rFonts w:hint="eastAsia"/>
        </w:rPr>
        <w:t>基金</w:t>
      </w:r>
      <w:r>
        <w:t>外</w:t>
      </w:r>
      <w:r>
        <w:rPr>
          <w:rFonts w:hint="eastAsia"/>
        </w:rPr>
        <w:t>在</w:t>
      </w:r>
      <w:r>
        <w:rPr>
          <w:rFonts w:hint="eastAsia"/>
        </w:rPr>
        <w:t>2017</w:t>
      </w:r>
      <w:r>
        <w:rPr>
          <w:rFonts w:hint="eastAsia"/>
        </w:rPr>
        <w:t>年</w:t>
      </w:r>
      <w:r>
        <w:t>的年化收益率为</w:t>
      </w:r>
      <w:r>
        <w:rPr>
          <w:rFonts w:hint="eastAsia"/>
        </w:rPr>
        <w:t>8.8</w:t>
      </w:r>
      <w:r>
        <w:t>%</w:t>
      </w:r>
      <w:r>
        <w:t>，最近</w:t>
      </w:r>
      <w:r>
        <w:rPr>
          <w:rFonts w:hint="eastAsia"/>
        </w:rPr>
        <w:t>5</w:t>
      </w:r>
      <w:r>
        <w:rPr>
          <w:rFonts w:hint="eastAsia"/>
        </w:rPr>
        <w:t>年</w:t>
      </w:r>
      <w:r>
        <w:t>的年化平均收益率为</w:t>
      </w:r>
      <w:r>
        <w:rPr>
          <w:rFonts w:hint="eastAsia"/>
        </w:rPr>
        <w:t>8.6</w:t>
      </w:r>
      <w:r>
        <w:t>%</w:t>
      </w:r>
      <w:r>
        <w:t>。</w:t>
      </w:r>
      <w:r>
        <w:rPr>
          <w:rFonts w:hint="eastAsia"/>
        </w:rPr>
        <w:t>澳大利亚</w:t>
      </w:r>
      <w:r>
        <w:t>超级年金</w:t>
      </w:r>
      <w:r>
        <w:rPr>
          <w:rFonts w:hint="eastAsia"/>
        </w:rPr>
        <w:t>偏重</w:t>
      </w:r>
      <w:r>
        <w:t>于股票投资的资产配置结构</w:t>
      </w:r>
      <w:r>
        <w:rPr>
          <w:rFonts w:hint="eastAsia"/>
        </w:rPr>
        <w:t>直接</w:t>
      </w:r>
      <w:r>
        <w:t>反映到其投资收益上，最近</w:t>
      </w:r>
      <w:r>
        <w:rPr>
          <w:rFonts w:hint="eastAsia"/>
        </w:rPr>
        <w:t>13</w:t>
      </w:r>
      <w:r>
        <w:rPr>
          <w:rFonts w:hint="eastAsia"/>
        </w:rPr>
        <w:t>年</w:t>
      </w:r>
      <w:r>
        <w:t>的超级年金的</w:t>
      </w:r>
      <w:r>
        <w:rPr>
          <w:rFonts w:hint="eastAsia"/>
        </w:rPr>
        <w:t>年平均</w:t>
      </w:r>
      <w:r>
        <w:t>投资</w:t>
      </w:r>
      <w:r>
        <w:rPr>
          <w:rFonts w:hint="eastAsia"/>
        </w:rPr>
        <w:t>回报率</w:t>
      </w:r>
      <w:r>
        <w:t>为</w:t>
      </w:r>
      <w:r>
        <w:rPr>
          <w:rFonts w:hint="eastAsia"/>
        </w:rPr>
        <w:t>6.42</w:t>
      </w:r>
      <w:r>
        <w:t>%</w:t>
      </w:r>
      <w:r>
        <w:rPr>
          <w:rFonts w:hint="eastAsia"/>
        </w:rPr>
        <w:t>，</w:t>
      </w:r>
      <w:r>
        <w:t>变异系数为</w:t>
      </w:r>
      <w:r>
        <w:rPr>
          <w:rFonts w:hint="eastAsia"/>
        </w:rPr>
        <w:t>1.26</w:t>
      </w:r>
      <w:r>
        <w:rPr>
          <w:rFonts w:hint="eastAsia"/>
        </w:rPr>
        <w:t>，主要</w:t>
      </w:r>
      <w:r>
        <w:t>由于</w:t>
      </w:r>
      <w:r>
        <w:rPr>
          <w:rFonts w:hint="eastAsia"/>
        </w:rPr>
        <w:t>超级年金在</w:t>
      </w:r>
      <w:r>
        <w:t>全球范围内的金融危机中</w:t>
      </w:r>
      <w:r>
        <w:rPr>
          <w:rFonts w:hint="eastAsia"/>
        </w:rPr>
        <w:t>受到</w:t>
      </w:r>
      <w:r>
        <w:t>了较大</w:t>
      </w:r>
      <w:r>
        <w:rPr>
          <w:rFonts w:hint="eastAsia"/>
        </w:rPr>
        <w:t>的</w:t>
      </w:r>
      <w:r>
        <w:t>冲击，</w:t>
      </w:r>
      <w:r>
        <w:rPr>
          <w:rFonts w:hint="eastAsia"/>
        </w:rPr>
        <w:t>扩大了</w:t>
      </w:r>
      <w:r>
        <w:t>基金整体的波动，</w:t>
      </w:r>
      <w:r>
        <w:rPr>
          <w:rFonts w:hint="eastAsia"/>
        </w:rPr>
        <w:t>2008</w:t>
      </w:r>
      <w:r>
        <w:rPr>
          <w:rFonts w:hint="eastAsia"/>
        </w:rPr>
        <w:t>年和</w:t>
      </w:r>
      <w:r>
        <w:rPr>
          <w:rFonts w:hint="eastAsia"/>
        </w:rPr>
        <w:t>2009</w:t>
      </w:r>
      <w:r>
        <w:rPr>
          <w:rFonts w:hint="eastAsia"/>
        </w:rPr>
        <w:t>年</w:t>
      </w:r>
      <w:r>
        <w:t>的收益率为</w:t>
      </w:r>
      <w:r>
        <w:rPr>
          <w:rFonts w:hint="eastAsia"/>
        </w:rPr>
        <w:t>-7.5</w:t>
      </w:r>
      <w:r>
        <w:t>%</w:t>
      </w:r>
      <w:r>
        <w:rPr>
          <w:rFonts w:hint="eastAsia"/>
        </w:rPr>
        <w:t>和</w:t>
      </w:r>
      <w:r>
        <w:t>-12.1%</w:t>
      </w:r>
      <w:r>
        <w:rPr>
          <w:rFonts w:hint="eastAsia"/>
        </w:rPr>
        <w:t>。若</w:t>
      </w:r>
      <w:r w:rsidR="007B3177">
        <w:rPr>
          <w:rFonts w:hint="eastAsia"/>
        </w:rPr>
        <w:t>剔除</w:t>
      </w:r>
      <w:r>
        <w:t>这两年的数据，则</w:t>
      </w:r>
      <w:r>
        <w:rPr>
          <w:rFonts w:hint="eastAsia"/>
        </w:rPr>
        <w:t>平均</w:t>
      </w:r>
      <w:r>
        <w:t>收益率上升到</w:t>
      </w:r>
      <w:r>
        <w:rPr>
          <w:rFonts w:hint="eastAsia"/>
        </w:rPr>
        <w:t>9.76</w:t>
      </w:r>
      <w:r>
        <w:t>%</w:t>
      </w:r>
      <w:r>
        <w:t>，</w:t>
      </w:r>
      <w:r>
        <w:rPr>
          <w:rFonts w:hint="eastAsia"/>
        </w:rPr>
        <w:t>变异</w:t>
      </w:r>
      <w:r>
        <w:t>系数下降到</w:t>
      </w:r>
      <w:r>
        <w:rPr>
          <w:rFonts w:hint="eastAsia"/>
        </w:rPr>
        <w:t>0.47</w:t>
      </w:r>
      <w:r w:rsidR="00F954C6">
        <w:rPr>
          <w:rFonts w:hint="eastAsia"/>
        </w:rPr>
        <w:t>（见图</w:t>
      </w:r>
      <w:r w:rsidR="00F954C6">
        <w:rPr>
          <w:rFonts w:hint="eastAsia"/>
        </w:rPr>
        <w:t>3</w:t>
      </w:r>
      <w:r w:rsidR="00F954C6">
        <w:rPr>
          <w:rFonts w:hint="eastAsia"/>
        </w:rPr>
        <w:t>）</w:t>
      </w:r>
      <w:r>
        <w:rPr>
          <w:rFonts w:hint="eastAsia"/>
        </w:rPr>
        <w:t>。</w:t>
      </w:r>
    </w:p>
    <w:p w:rsidR="0035189F" w:rsidRDefault="0035189F" w:rsidP="0035189F"/>
    <w:p w:rsidR="002F629E" w:rsidRPr="0035189F" w:rsidRDefault="002F629E" w:rsidP="002F629E">
      <w:pPr>
        <w:pStyle w:val="af"/>
        <w:keepNext/>
        <w:jc w:val="center"/>
        <w:rPr>
          <w:b/>
        </w:rPr>
      </w:pPr>
      <w:r w:rsidRPr="0035189F">
        <w:rPr>
          <w:rFonts w:hint="eastAsia"/>
          <w:b/>
        </w:rPr>
        <w:t>图</w:t>
      </w:r>
      <w:r w:rsidRPr="0035189F">
        <w:rPr>
          <w:rFonts w:hint="eastAsia"/>
          <w:b/>
        </w:rPr>
        <w:t xml:space="preserve"> </w:t>
      </w:r>
      <w:r w:rsidR="009D2541" w:rsidRPr="0035189F">
        <w:rPr>
          <w:b/>
        </w:rPr>
        <w:fldChar w:fldCharType="begin"/>
      </w:r>
      <w:r w:rsidRPr="0035189F">
        <w:rPr>
          <w:b/>
        </w:rPr>
        <w:instrText xml:space="preserve"> </w:instrText>
      </w:r>
      <w:r w:rsidRPr="0035189F">
        <w:rPr>
          <w:rFonts w:hint="eastAsia"/>
          <w:b/>
        </w:rPr>
        <w:instrText xml:space="preserve">SEQ </w:instrText>
      </w:r>
      <w:r w:rsidRPr="0035189F">
        <w:rPr>
          <w:rFonts w:hint="eastAsia"/>
          <w:b/>
        </w:rPr>
        <w:instrText>图</w:instrText>
      </w:r>
      <w:r w:rsidRPr="0035189F">
        <w:rPr>
          <w:rFonts w:hint="eastAsia"/>
          <w:b/>
        </w:rPr>
        <w:instrText xml:space="preserve"> \* ARABIC</w:instrText>
      </w:r>
      <w:r w:rsidRPr="0035189F">
        <w:rPr>
          <w:b/>
        </w:rPr>
        <w:instrText xml:space="preserve"> </w:instrText>
      </w:r>
      <w:r w:rsidR="009D2541" w:rsidRPr="0035189F">
        <w:rPr>
          <w:b/>
        </w:rPr>
        <w:fldChar w:fldCharType="separate"/>
      </w:r>
      <w:r w:rsidRPr="0035189F">
        <w:rPr>
          <w:b/>
          <w:noProof/>
        </w:rPr>
        <w:t>3</w:t>
      </w:r>
      <w:r w:rsidR="009D2541" w:rsidRPr="0035189F">
        <w:rPr>
          <w:b/>
        </w:rPr>
        <w:fldChar w:fldCharType="end"/>
      </w:r>
      <w:r w:rsidRPr="0035189F">
        <w:rPr>
          <w:rFonts w:hint="eastAsia"/>
          <w:b/>
        </w:rPr>
        <w:t>澳大利亚</w:t>
      </w:r>
      <w:r w:rsidRPr="0035189F">
        <w:rPr>
          <w:b/>
        </w:rPr>
        <w:t>超级年金</w:t>
      </w:r>
      <w:r w:rsidRPr="0035189F">
        <w:rPr>
          <w:rFonts w:hint="eastAsia"/>
          <w:b/>
        </w:rPr>
        <w:t>近年</w:t>
      </w:r>
      <w:r w:rsidRPr="0035189F">
        <w:rPr>
          <w:b/>
        </w:rPr>
        <w:t>投资收益情况</w:t>
      </w:r>
    </w:p>
    <w:p w:rsidR="005C7F93" w:rsidRDefault="005C7F93" w:rsidP="005C7F93">
      <w:r>
        <w:rPr>
          <w:rFonts w:hint="eastAsia"/>
          <w:noProof/>
        </w:rPr>
        <w:drawing>
          <wp:inline distT="0" distB="0" distL="0" distR="0">
            <wp:extent cx="5274310" cy="3076575"/>
            <wp:effectExtent l="0" t="0" r="25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7F93" w:rsidRDefault="00E17B6B" w:rsidP="005C7F93">
      <w:pPr>
        <w:ind w:firstLine="420"/>
        <w:rPr>
          <w:sz w:val="18"/>
          <w:szCs w:val="18"/>
        </w:rPr>
      </w:pPr>
      <w:r>
        <w:rPr>
          <w:rFonts w:hint="eastAsia"/>
          <w:sz w:val="18"/>
          <w:szCs w:val="18"/>
        </w:rPr>
        <w:t>资料</w:t>
      </w:r>
      <w:r w:rsidR="005C7F93" w:rsidRPr="00E20C02">
        <w:rPr>
          <w:sz w:val="18"/>
          <w:szCs w:val="18"/>
        </w:rPr>
        <w:t>来源：</w:t>
      </w:r>
      <w:r w:rsidR="005C7F93" w:rsidRPr="009C0DF1">
        <w:rPr>
          <w:sz w:val="18"/>
          <w:szCs w:val="18"/>
        </w:rPr>
        <w:t>Annual Superannuation Bulletin June 2016</w:t>
      </w:r>
    </w:p>
    <w:p w:rsidR="0035189F" w:rsidRDefault="0035189F" w:rsidP="0035189F"/>
    <w:p w:rsidR="0035189F" w:rsidRDefault="0035189F" w:rsidP="0035189F">
      <w:r>
        <w:t>从</w:t>
      </w:r>
      <w:r>
        <w:rPr>
          <w:rFonts w:hint="eastAsia"/>
        </w:rPr>
        <w:t>更长</w:t>
      </w:r>
      <w:r>
        <w:t>期来看，澳大利亚超级年金</w:t>
      </w:r>
      <w:r>
        <w:rPr>
          <w:rFonts w:hint="eastAsia"/>
        </w:rPr>
        <w:t>显示出较为优异</w:t>
      </w:r>
      <w:r>
        <w:t>的</w:t>
      </w:r>
      <w:r>
        <w:rPr>
          <w:rFonts w:hint="eastAsia"/>
        </w:rPr>
        <w:t>长期投资</w:t>
      </w:r>
      <w:r>
        <w:t>收益</w:t>
      </w:r>
      <w:r>
        <w:rPr>
          <w:rFonts w:hint="eastAsia"/>
        </w:rPr>
        <w:t>。超级</w:t>
      </w:r>
      <w:r>
        <w:t>年金</w:t>
      </w:r>
      <w:r>
        <w:rPr>
          <w:rFonts w:hint="eastAsia"/>
        </w:rPr>
        <w:t>最近</w:t>
      </w:r>
      <w:r>
        <w:rPr>
          <w:rFonts w:hint="eastAsia"/>
        </w:rPr>
        <w:t>50</w:t>
      </w:r>
      <w:r>
        <w:rPr>
          <w:rFonts w:hint="eastAsia"/>
        </w:rPr>
        <w:t>年</w:t>
      </w:r>
      <w:r>
        <w:t>的</w:t>
      </w:r>
      <w:r>
        <w:rPr>
          <w:rFonts w:hint="eastAsia"/>
        </w:rPr>
        <w:t>年均</w:t>
      </w:r>
      <w:r>
        <w:t>基金收益</w:t>
      </w:r>
      <w:r>
        <w:rPr>
          <w:rFonts w:hint="eastAsia"/>
        </w:rPr>
        <w:t>达到</w:t>
      </w:r>
      <w:r>
        <w:rPr>
          <w:rFonts w:hint="eastAsia"/>
        </w:rPr>
        <w:t>10.3</w:t>
      </w:r>
      <w:r>
        <w:t>%</w:t>
      </w:r>
      <w:r>
        <w:t>，扣除</w:t>
      </w:r>
      <w:r>
        <w:rPr>
          <w:rFonts w:hint="eastAsia"/>
        </w:rPr>
        <w:t>CPI</w:t>
      </w:r>
      <w:r>
        <w:t>后</w:t>
      </w:r>
      <w:r>
        <w:rPr>
          <w:rFonts w:hint="eastAsia"/>
        </w:rPr>
        <w:t>投资</w:t>
      </w:r>
      <w:r>
        <w:t>收益率为</w:t>
      </w:r>
      <w:r>
        <w:rPr>
          <w:rFonts w:hint="eastAsia"/>
        </w:rPr>
        <w:t>4.8</w:t>
      </w:r>
      <w:r>
        <w:t>%</w:t>
      </w:r>
      <w:r>
        <w:t>，</w:t>
      </w:r>
      <w:r>
        <w:rPr>
          <w:rFonts w:hint="eastAsia"/>
        </w:rPr>
        <w:t>有效的抵御了</w:t>
      </w:r>
      <w:r>
        <w:t>通胀。</w:t>
      </w:r>
      <w:r>
        <w:rPr>
          <w:rFonts w:hint="eastAsia"/>
        </w:rPr>
        <w:t>自</w:t>
      </w:r>
      <w:r>
        <w:rPr>
          <w:rFonts w:hint="eastAsia"/>
        </w:rPr>
        <w:t>1993</w:t>
      </w:r>
      <w:r>
        <w:rPr>
          <w:rFonts w:hint="eastAsia"/>
        </w:rPr>
        <w:t>年超级年金</w:t>
      </w:r>
      <w:r>
        <w:t>改革</w:t>
      </w:r>
      <w:r>
        <w:rPr>
          <w:rFonts w:hint="eastAsia"/>
        </w:rPr>
        <w:t>25</w:t>
      </w:r>
      <w:r>
        <w:rPr>
          <w:rFonts w:hint="eastAsia"/>
        </w:rPr>
        <w:t>年</w:t>
      </w:r>
      <w:r>
        <w:t>以来的平均收益率为</w:t>
      </w:r>
      <w:r>
        <w:rPr>
          <w:rFonts w:hint="eastAsia"/>
        </w:rPr>
        <w:t>7.8</w:t>
      </w:r>
      <w:r>
        <w:t>%</w:t>
      </w:r>
      <w:r>
        <w:t>，</w:t>
      </w:r>
      <w:r>
        <w:rPr>
          <w:rFonts w:hint="eastAsia"/>
        </w:rPr>
        <w:t>而</w:t>
      </w:r>
      <w:r>
        <w:t>最近</w:t>
      </w:r>
      <w:r>
        <w:rPr>
          <w:rFonts w:hint="eastAsia"/>
        </w:rPr>
        <w:t>5</w:t>
      </w:r>
      <w:r>
        <w:rPr>
          <w:rFonts w:hint="eastAsia"/>
        </w:rPr>
        <w:t>年</w:t>
      </w:r>
      <w:r>
        <w:t>的</w:t>
      </w:r>
      <w:r>
        <w:rPr>
          <w:rFonts w:hint="eastAsia"/>
        </w:rPr>
        <w:t>年均基金</w:t>
      </w:r>
      <w:r>
        <w:t>投资收益</w:t>
      </w:r>
      <w:r>
        <w:rPr>
          <w:rFonts w:hint="eastAsia"/>
        </w:rPr>
        <w:t>达到</w:t>
      </w:r>
      <w:r>
        <w:t>了</w:t>
      </w:r>
      <w:r>
        <w:rPr>
          <w:rFonts w:hint="eastAsia"/>
        </w:rPr>
        <w:t>10.4</w:t>
      </w:r>
      <w:r>
        <w:t>%</w:t>
      </w:r>
      <w:r>
        <w:t>，扣除</w:t>
      </w:r>
      <w:r>
        <w:t>CPI</w:t>
      </w:r>
      <w:r>
        <w:t>后的投资收益率达到了</w:t>
      </w:r>
      <w:r>
        <w:rPr>
          <w:rFonts w:hint="eastAsia"/>
        </w:rPr>
        <w:t>8.2</w:t>
      </w:r>
      <w:r>
        <w:t>%</w:t>
      </w:r>
      <w:r>
        <w:t>，处于历史</w:t>
      </w:r>
      <w:r>
        <w:rPr>
          <w:rFonts w:hint="eastAsia"/>
        </w:rPr>
        <w:t>较高</w:t>
      </w:r>
      <w:r>
        <w:t>水平</w:t>
      </w:r>
      <w:r>
        <w:rPr>
          <w:rFonts w:hint="eastAsia"/>
        </w:rPr>
        <w:t>（见表</w:t>
      </w:r>
      <w:r>
        <w:rPr>
          <w:rFonts w:hint="eastAsia"/>
        </w:rPr>
        <w:t>7</w:t>
      </w:r>
      <w:r>
        <w:rPr>
          <w:rFonts w:hint="eastAsia"/>
        </w:rPr>
        <w:t>）。</w:t>
      </w:r>
    </w:p>
    <w:p w:rsidR="00B346B1" w:rsidRDefault="00B346B1" w:rsidP="002F629E"/>
    <w:p w:rsidR="006A7805" w:rsidRPr="0035189F" w:rsidRDefault="006A7805" w:rsidP="004002FA">
      <w:pPr>
        <w:pStyle w:val="af"/>
        <w:keepNext/>
        <w:jc w:val="center"/>
        <w:rPr>
          <w:b/>
        </w:rPr>
      </w:pPr>
      <w:r w:rsidRPr="0035189F">
        <w:rPr>
          <w:rFonts w:hint="eastAsia"/>
          <w:b/>
        </w:rPr>
        <w:t>表</w:t>
      </w:r>
      <w:r w:rsidRPr="0035189F">
        <w:rPr>
          <w:rFonts w:hint="eastAsia"/>
          <w:b/>
        </w:rPr>
        <w:t xml:space="preserve"> </w:t>
      </w:r>
      <w:r w:rsidR="00A07C21" w:rsidRPr="0035189F">
        <w:rPr>
          <w:rFonts w:hint="eastAsia"/>
          <w:b/>
        </w:rPr>
        <w:t>7</w:t>
      </w:r>
      <w:r w:rsidRPr="0035189F">
        <w:rPr>
          <w:rFonts w:hint="eastAsia"/>
          <w:b/>
        </w:rPr>
        <w:t>澳大利亚超级年金长期投资收益情况</w:t>
      </w:r>
    </w:p>
    <w:p w:rsidR="00A07C21" w:rsidRPr="00A07C21" w:rsidRDefault="00A07C21" w:rsidP="00A07C21">
      <w:pPr>
        <w:jc w:val="right"/>
      </w:pPr>
      <w:r>
        <w:rPr>
          <w:rFonts w:hint="eastAsia"/>
        </w:rPr>
        <w:t>单位：</w:t>
      </w:r>
      <w:r>
        <w:rPr>
          <w:rFonts w:hint="eastAsia"/>
        </w:rPr>
        <w:t>%</w:t>
      </w:r>
    </w:p>
    <w:tbl>
      <w:tblPr>
        <w:tblW w:w="5000" w:type="pct"/>
        <w:jc w:val="center"/>
        <w:tblLook w:val="04A0"/>
      </w:tblPr>
      <w:tblGrid>
        <w:gridCol w:w="2073"/>
        <w:gridCol w:w="1769"/>
        <w:gridCol w:w="2988"/>
        <w:gridCol w:w="1692"/>
      </w:tblGrid>
      <w:tr w:rsidR="00B346B1" w:rsidRPr="002021F7" w:rsidTr="00A07C21">
        <w:trPr>
          <w:trHeight w:val="270"/>
          <w:jc w:val="center"/>
        </w:trPr>
        <w:tc>
          <w:tcPr>
            <w:tcW w:w="1216" w:type="pct"/>
            <w:tcBorders>
              <w:top w:val="single" w:sz="4" w:space="0" w:color="auto"/>
              <w:bottom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时间</w:t>
            </w:r>
            <w:r w:rsidR="00090530">
              <w:rPr>
                <w:rFonts w:ascii="宋体" w:eastAsia="宋体" w:hAnsi="宋体" w:cs="宋体" w:hint="eastAsia"/>
                <w:color w:val="000000"/>
                <w:kern w:val="0"/>
                <w:sz w:val="22"/>
              </w:rPr>
              <w:t>（年）</w:t>
            </w:r>
          </w:p>
        </w:tc>
        <w:tc>
          <w:tcPr>
            <w:tcW w:w="1038" w:type="pct"/>
            <w:tcBorders>
              <w:top w:val="single" w:sz="4" w:space="0" w:color="auto"/>
              <w:left w:val="nil"/>
              <w:bottom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基金收益</w:t>
            </w:r>
          </w:p>
        </w:tc>
        <w:tc>
          <w:tcPr>
            <w:tcW w:w="1753" w:type="pct"/>
            <w:tcBorders>
              <w:top w:val="single" w:sz="4" w:space="0" w:color="auto"/>
              <w:left w:val="nil"/>
              <w:bottom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扣除平均工资增长</w:t>
            </w:r>
          </w:p>
        </w:tc>
        <w:tc>
          <w:tcPr>
            <w:tcW w:w="993" w:type="pct"/>
            <w:tcBorders>
              <w:top w:val="single" w:sz="4" w:space="0" w:color="auto"/>
              <w:left w:val="nil"/>
              <w:bottom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扣除CPI</w:t>
            </w:r>
          </w:p>
        </w:tc>
      </w:tr>
      <w:tr w:rsidR="00B346B1" w:rsidRPr="002021F7" w:rsidTr="00A07C21">
        <w:trPr>
          <w:trHeight w:val="270"/>
          <w:jc w:val="center"/>
        </w:trPr>
        <w:tc>
          <w:tcPr>
            <w:tcW w:w="1216" w:type="pct"/>
            <w:tcBorders>
              <w:top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5</w:t>
            </w:r>
          </w:p>
        </w:tc>
        <w:tc>
          <w:tcPr>
            <w:tcW w:w="1038" w:type="pct"/>
            <w:tcBorders>
              <w:top w:val="single" w:sz="4" w:space="0" w:color="auto"/>
              <w:left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10.4</w:t>
            </w:r>
          </w:p>
        </w:tc>
        <w:tc>
          <w:tcPr>
            <w:tcW w:w="1753" w:type="pct"/>
            <w:tcBorders>
              <w:top w:val="single" w:sz="4" w:space="0" w:color="auto"/>
              <w:left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7.4</w:t>
            </w:r>
          </w:p>
        </w:tc>
        <w:tc>
          <w:tcPr>
            <w:tcW w:w="993" w:type="pct"/>
            <w:tcBorders>
              <w:top w:val="single" w:sz="4" w:space="0" w:color="auto"/>
              <w:lef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8.2</w:t>
            </w:r>
          </w:p>
        </w:tc>
      </w:tr>
      <w:tr w:rsidR="00B346B1" w:rsidRPr="002021F7" w:rsidTr="00A07C21">
        <w:trPr>
          <w:trHeight w:val="270"/>
          <w:jc w:val="center"/>
        </w:trPr>
        <w:tc>
          <w:tcPr>
            <w:tcW w:w="1216" w:type="pct"/>
            <w:tcBorders>
              <w:top w:val="nil"/>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10</w:t>
            </w:r>
          </w:p>
        </w:tc>
        <w:tc>
          <w:tcPr>
            <w:tcW w:w="1038" w:type="pct"/>
            <w:tcBorders>
              <w:top w:val="nil"/>
              <w:left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4.7</w:t>
            </w:r>
          </w:p>
        </w:tc>
        <w:tc>
          <w:tcPr>
            <w:tcW w:w="1753" w:type="pct"/>
            <w:tcBorders>
              <w:top w:val="nil"/>
              <w:left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1</w:t>
            </w:r>
          </w:p>
        </w:tc>
        <w:tc>
          <w:tcPr>
            <w:tcW w:w="993" w:type="pct"/>
            <w:tcBorders>
              <w:top w:val="nil"/>
              <w:lef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2.3</w:t>
            </w:r>
          </w:p>
        </w:tc>
      </w:tr>
      <w:tr w:rsidR="00B346B1" w:rsidRPr="002021F7" w:rsidTr="00A07C21">
        <w:trPr>
          <w:trHeight w:val="270"/>
          <w:jc w:val="center"/>
        </w:trPr>
        <w:tc>
          <w:tcPr>
            <w:tcW w:w="1216" w:type="pct"/>
            <w:tcBorders>
              <w:top w:val="nil"/>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25</w:t>
            </w:r>
          </w:p>
        </w:tc>
        <w:tc>
          <w:tcPr>
            <w:tcW w:w="1038" w:type="pct"/>
            <w:tcBorders>
              <w:top w:val="nil"/>
              <w:left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7.6</w:t>
            </w:r>
          </w:p>
        </w:tc>
        <w:tc>
          <w:tcPr>
            <w:tcW w:w="1753" w:type="pct"/>
            <w:tcBorders>
              <w:top w:val="nil"/>
              <w:left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3.5</w:t>
            </w:r>
          </w:p>
        </w:tc>
        <w:tc>
          <w:tcPr>
            <w:tcW w:w="993" w:type="pct"/>
            <w:tcBorders>
              <w:top w:val="nil"/>
              <w:lef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5</w:t>
            </w:r>
          </w:p>
        </w:tc>
      </w:tr>
      <w:tr w:rsidR="00B346B1" w:rsidRPr="002021F7" w:rsidTr="00A07C21">
        <w:trPr>
          <w:trHeight w:val="270"/>
          <w:jc w:val="center"/>
        </w:trPr>
        <w:tc>
          <w:tcPr>
            <w:tcW w:w="1216" w:type="pct"/>
            <w:tcBorders>
              <w:top w:val="nil"/>
              <w:bottom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50</w:t>
            </w:r>
          </w:p>
        </w:tc>
        <w:tc>
          <w:tcPr>
            <w:tcW w:w="1038" w:type="pct"/>
            <w:tcBorders>
              <w:top w:val="nil"/>
              <w:left w:val="single" w:sz="4" w:space="0" w:color="auto"/>
              <w:bottom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10.3</w:t>
            </w:r>
          </w:p>
        </w:tc>
        <w:tc>
          <w:tcPr>
            <w:tcW w:w="1753" w:type="pct"/>
            <w:tcBorders>
              <w:top w:val="nil"/>
              <w:left w:val="single" w:sz="4" w:space="0" w:color="auto"/>
              <w:bottom w:val="single" w:sz="4" w:space="0" w:color="auto"/>
              <w:right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3.3</w:t>
            </w:r>
          </w:p>
        </w:tc>
        <w:tc>
          <w:tcPr>
            <w:tcW w:w="993" w:type="pct"/>
            <w:tcBorders>
              <w:top w:val="nil"/>
              <w:left w:val="single" w:sz="4" w:space="0" w:color="auto"/>
              <w:bottom w:val="single" w:sz="4" w:space="0" w:color="auto"/>
            </w:tcBorders>
            <w:shd w:val="clear" w:color="auto" w:fill="auto"/>
            <w:noWrap/>
            <w:vAlign w:val="bottom"/>
            <w:hideMark/>
          </w:tcPr>
          <w:p w:rsidR="00B346B1" w:rsidRPr="002021F7" w:rsidRDefault="00B346B1" w:rsidP="00D25A6A">
            <w:pPr>
              <w:widowControl/>
              <w:jc w:val="center"/>
              <w:rPr>
                <w:rFonts w:ascii="宋体" w:eastAsia="宋体" w:hAnsi="宋体" w:cs="宋体"/>
                <w:color w:val="000000"/>
                <w:kern w:val="0"/>
                <w:sz w:val="22"/>
              </w:rPr>
            </w:pPr>
            <w:r w:rsidRPr="002021F7">
              <w:rPr>
                <w:rFonts w:ascii="宋体" w:eastAsia="宋体" w:hAnsi="宋体" w:cs="宋体" w:hint="eastAsia"/>
                <w:color w:val="000000"/>
                <w:kern w:val="0"/>
                <w:sz w:val="22"/>
              </w:rPr>
              <w:t>4.8</w:t>
            </w:r>
          </w:p>
        </w:tc>
      </w:tr>
    </w:tbl>
    <w:p w:rsidR="00B346B1" w:rsidRPr="00E20C02" w:rsidRDefault="00A07C21" w:rsidP="0035189F">
      <w:pPr>
        <w:rPr>
          <w:sz w:val="18"/>
          <w:szCs w:val="18"/>
        </w:rPr>
      </w:pPr>
      <w:r>
        <w:rPr>
          <w:rFonts w:hint="eastAsia"/>
          <w:sz w:val="18"/>
          <w:szCs w:val="18"/>
        </w:rPr>
        <w:t>资料</w:t>
      </w:r>
      <w:r w:rsidR="00B346B1" w:rsidRPr="00E20C02">
        <w:rPr>
          <w:sz w:val="18"/>
          <w:szCs w:val="18"/>
        </w:rPr>
        <w:t>来源：</w:t>
      </w:r>
      <w:r w:rsidR="00B346B1" w:rsidRPr="00E20C02">
        <w:rPr>
          <w:rFonts w:hint="eastAsia"/>
          <w:sz w:val="18"/>
          <w:szCs w:val="18"/>
        </w:rPr>
        <w:t>ASFA</w:t>
      </w:r>
      <w:r w:rsidR="00B346B1" w:rsidRPr="00E20C02">
        <w:rPr>
          <w:rFonts w:hint="eastAsia"/>
          <w:sz w:val="18"/>
          <w:szCs w:val="18"/>
        </w:rPr>
        <w:t>，</w:t>
      </w:r>
      <w:r w:rsidR="00B346B1" w:rsidRPr="00E20C02">
        <w:rPr>
          <w:rFonts w:hint="eastAsia"/>
          <w:sz w:val="18"/>
          <w:szCs w:val="18"/>
        </w:rPr>
        <w:t>Superannuation</w:t>
      </w:r>
      <w:r w:rsidR="00B346B1" w:rsidRPr="00E20C02">
        <w:rPr>
          <w:sz w:val="18"/>
          <w:szCs w:val="18"/>
        </w:rPr>
        <w:t xml:space="preserve"> Statistics </w:t>
      </w:r>
      <w:r>
        <w:rPr>
          <w:rFonts w:hint="eastAsia"/>
          <w:sz w:val="18"/>
          <w:szCs w:val="18"/>
        </w:rPr>
        <w:t>，</w:t>
      </w:r>
      <w:r w:rsidR="00B346B1" w:rsidRPr="00E20C02">
        <w:rPr>
          <w:sz w:val="18"/>
          <w:szCs w:val="18"/>
        </w:rPr>
        <w:t>Dec</w:t>
      </w:r>
      <w:r>
        <w:rPr>
          <w:rFonts w:hint="eastAsia"/>
          <w:sz w:val="18"/>
          <w:szCs w:val="18"/>
        </w:rPr>
        <w:t xml:space="preserve"> </w:t>
      </w:r>
      <w:r w:rsidR="00B346B1" w:rsidRPr="00E20C02">
        <w:rPr>
          <w:sz w:val="18"/>
          <w:szCs w:val="18"/>
        </w:rPr>
        <w:t>2017</w:t>
      </w:r>
      <w:r>
        <w:rPr>
          <w:rFonts w:hint="eastAsia"/>
          <w:sz w:val="18"/>
          <w:szCs w:val="18"/>
        </w:rPr>
        <w:t>。</w:t>
      </w:r>
    </w:p>
    <w:p w:rsidR="00B346B1" w:rsidRPr="006C4ED4" w:rsidRDefault="00A07C21" w:rsidP="006C4ED4">
      <w:pPr>
        <w:pStyle w:val="2"/>
        <w:rPr>
          <w:sz w:val="28"/>
          <w:szCs w:val="28"/>
        </w:rPr>
      </w:pPr>
      <w:r>
        <w:rPr>
          <w:rStyle w:val="2Char"/>
          <w:rFonts w:hint="eastAsia"/>
          <w:b/>
          <w:sz w:val="28"/>
          <w:szCs w:val="28"/>
        </w:rPr>
        <w:lastRenderedPageBreak/>
        <w:t>（四）澳大利亚</w:t>
      </w:r>
      <w:r w:rsidR="00B346B1" w:rsidRPr="006C4ED4">
        <w:rPr>
          <w:rFonts w:hint="eastAsia"/>
          <w:sz w:val="28"/>
          <w:szCs w:val="28"/>
        </w:rPr>
        <w:t>超级年金</w:t>
      </w:r>
      <w:r w:rsidR="00B346B1" w:rsidRPr="006C4ED4">
        <w:rPr>
          <w:sz w:val="28"/>
          <w:szCs w:val="28"/>
        </w:rPr>
        <w:t>的监管</w:t>
      </w:r>
    </w:p>
    <w:p w:rsidR="00B346B1" w:rsidRDefault="00B346B1" w:rsidP="00B346B1">
      <w:r>
        <w:rPr>
          <w:rFonts w:hint="eastAsia"/>
        </w:rPr>
        <w:t>澳大利亚</w:t>
      </w:r>
      <w:r>
        <w:t>超级</w:t>
      </w:r>
      <w:r>
        <w:rPr>
          <w:rFonts w:hint="eastAsia"/>
        </w:rPr>
        <w:t>年金</w:t>
      </w:r>
      <w:r>
        <w:t>在</w:t>
      </w:r>
      <w:r>
        <w:rPr>
          <w:rFonts w:hint="eastAsia"/>
        </w:rPr>
        <w:t>1992</w:t>
      </w:r>
      <w:r>
        <w:rPr>
          <w:rFonts w:hint="eastAsia"/>
        </w:rPr>
        <w:t>年《</w:t>
      </w:r>
      <w:r>
        <w:t>超级年金保障</w:t>
      </w:r>
      <w:r>
        <w:t>(</w:t>
      </w:r>
      <w:r>
        <w:rPr>
          <w:rFonts w:hint="eastAsia"/>
        </w:rPr>
        <w:t>管理</w:t>
      </w:r>
      <w:r>
        <w:t>)</w:t>
      </w:r>
      <w:r>
        <w:rPr>
          <w:rFonts w:hint="eastAsia"/>
        </w:rPr>
        <w:t>法</w:t>
      </w:r>
      <w:r>
        <w:t>案</w:t>
      </w:r>
      <w:r>
        <w:rPr>
          <w:rFonts w:hint="eastAsia"/>
        </w:rPr>
        <w:t>》的</w:t>
      </w:r>
      <w:r>
        <w:t>指导下建立，其</w:t>
      </w:r>
      <w:r>
        <w:rPr>
          <w:rFonts w:hint="eastAsia"/>
        </w:rPr>
        <w:t>超级</w:t>
      </w:r>
      <w:r>
        <w:t>年金基金的监管主要受</w:t>
      </w:r>
      <w:r>
        <w:rPr>
          <w:rFonts w:hint="eastAsia"/>
        </w:rPr>
        <w:t>《</w:t>
      </w:r>
      <w:r>
        <w:rPr>
          <w:rFonts w:hint="eastAsia"/>
        </w:rPr>
        <w:t>1993</w:t>
      </w:r>
      <w:r>
        <w:t>超级年金</w:t>
      </w:r>
      <w:r>
        <w:rPr>
          <w:rFonts w:hint="eastAsia"/>
        </w:rPr>
        <w:t>业</w:t>
      </w:r>
      <w:r>
        <w:t>（</w:t>
      </w:r>
      <w:r>
        <w:rPr>
          <w:rFonts w:hint="eastAsia"/>
        </w:rPr>
        <w:t>监管</w:t>
      </w:r>
      <w:r>
        <w:t>）</w:t>
      </w:r>
      <w:r>
        <w:rPr>
          <w:rFonts w:hint="eastAsia"/>
        </w:rPr>
        <w:t>法》、《</w:t>
      </w:r>
      <w:r>
        <w:rPr>
          <w:rFonts w:hint="eastAsia"/>
        </w:rPr>
        <w:t>2001</w:t>
      </w:r>
      <w:r>
        <w:rPr>
          <w:rFonts w:hint="eastAsia"/>
        </w:rPr>
        <w:t>公司法》和《</w:t>
      </w:r>
      <w:r>
        <w:rPr>
          <w:rFonts w:hint="eastAsia"/>
        </w:rPr>
        <w:t>2002</w:t>
      </w:r>
      <w:r>
        <w:rPr>
          <w:rFonts w:hint="eastAsia"/>
        </w:rPr>
        <w:t>金融</w:t>
      </w:r>
      <w:r>
        <w:t>服务标准法</w:t>
      </w:r>
      <w:r>
        <w:rPr>
          <w:rFonts w:hint="eastAsia"/>
        </w:rPr>
        <w:t>》的指导，</w:t>
      </w:r>
      <w:r>
        <w:t>同时也在</w:t>
      </w:r>
      <w:r>
        <w:rPr>
          <w:rFonts w:hint="eastAsia"/>
        </w:rPr>
        <w:t>法案</w:t>
      </w:r>
      <w:r>
        <w:t>中明确了澳大利亚</w:t>
      </w:r>
      <w:r>
        <w:rPr>
          <w:rFonts w:hint="eastAsia"/>
        </w:rPr>
        <w:t>超级</w:t>
      </w:r>
      <w:r>
        <w:t>年金的的监管主体。</w:t>
      </w:r>
      <w:r>
        <w:rPr>
          <w:rFonts w:hint="eastAsia"/>
        </w:rPr>
        <w:t>从</w:t>
      </w:r>
      <w:r>
        <w:t>监管模式上来说，澳大利亚超级年金</w:t>
      </w:r>
      <w:r>
        <w:rPr>
          <w:rFonts w:hint="eastAsia"/>
        </w:rPr>
        <w:t>实行</w:t>
      </w:r>
      <w:r>
        <w:t>的是目前国际上比较推崇的</w:t>
      </w:r>
      <w:r>
        <w:t>“</w:t>
      </w:r>
      <w:r>
        <w:rPr>
          <w:rFonts w:hint="eastAsia"/>
        </w:rPr>
        <w:t>双峰</w:t>
      </w:r>
      <w:r>
        <w:t>模式</w:t>
      </w:r>
      <w:r>
        <w:t>”</w:t>
      </w:r>
      <w:r>
        <w:rPr>
          <w:rFonts w:hint="eastAsia"/>
        </w:rPr>
        <w:t>，</w:t>
      </w:r>
      <w:r>
        <w:t>即审慎监管和</w:t>
      </w:r>
      <w:r>
        <w:rPr>
          <w:rFonts w:hint="eastAsia"/>
        </w:rPr>
        <w:t>行为</w:t>
      </w:r>
      <w:r>
        <w:t>监管并行的方式。实际上</w:t>
      </w:r>
      <w:r>
        <w:rPr>
          <w:rFonts w:hint="eastAsia"/>
        </w:rPr>
        <w:t>澳大利亚</w:t>
      </w:r>
      <w:r>
        <w:t>也是国家</w:t>
      </w:r>
      <w:r>
        <w:rPr>
          <w:rFonts w:hint="eastAsia"/>
        </w:rPr>
        <w:t>上</w:t>
      </w:r>
      <w:r>
        <w:t>最早采用</w:t>
      </w:r>
      <w:r>
        <w:rPr>
          <w:rFonts w:hint="eastAsia"/>
        </w:rPr>
        <w:t>双峰监管</w:t>
      </w:r>
      <w:r>
        <w:t>模式的国家，</w:t>
      </w:r>
      <w:r>
        <w:rPr>
          <w:rFonts w:hint="eastAsia"/>
        </w:rPr>
        <w:t>澳大利亚政府于</w:t>
      </w:r>
      <w:r>
        <w:rPr>
          <w:rFonts w:hint="eastAsia"/>
        </w:rPr>
        <w:t>1998</w:t>
      </w:r>
      <w:r>
        <w:rPr>
          <w:rFonts w:hint="eastAsia"/>
        </w:rPr>
        <w:t>年</w:t>
      </w:r>
      <w:r>
        <w:t>建立了审慎监管局</w:t>
      </w:r>
      <w:r>
        <w:rPr>
          <w:rFonts w:hint="eastAsia"/>
        </w:rPr>
        <w:t>（</w:t>
      </w:r>
      <w:r>
        <w:rPr>
          <w:rFonts w:hint="eastAsia"/>
        </w:rPr>
        <w:t>A</w:t>
      </w:r>
      <w:r>
        <w:t>PRA</w:t>
      </w:r>
      <w:r>
        <w:rPr>
          <w:rFonts w:hint="eastAsia"/>
        </w:rPr>
        <w:t>），又</w:t>
      </w:r>
      <w:r>
        <w:t>在</w:t>
      </w:r>
      <w:r>
        <w:rPr>
          <w:rFonts w:hint="eastAsia"/>
        </w:rPr>
        <w:t>2001</w:t>
      </w:r>
      <w:r>
        <w:rPr>
          <w:rFonts w:hint="eastAsia"/>
        </w:rPr>
        <w:t>年</w:t>
      </w:r>
      <w:r>
        <w:t>将</w:t>
      </w:r>
      <w:r>
        <w:rPr>
          <w:rFonts w:hint="eastAsia"/>
        </w:rPr>
        <w:t>超级</w:t>
      </w:r>
      <w:r>
        <w:t>年金的信息披露和市场行为监管</w:t>
      </w:r>
      <w:r>
        <w:rPr>
          <w:rFonts w:hint="eastAsia"/>
        </w:rPr>
        <w:t>的</w:t>
      </w:r>
      <w:r>
        <w:t>责任</w:t>
      </w:r>
      <w:r>
        <w:rPr>
          <w:rFonts w:hint="eastAsia"/>
        </w:rPr>
        <w:t>转移</w:t>
      </w:r>
      <w:r>
        <w:t>到</w:t>
      </w:r>
      <w:r w:rsidRPr="0032034F">
        <w:rPr>
          <w:rFonts w:hint="eastAsia"/>
        </w:rPr>
        <w:t>澳大利亚证券投资委员会</w:t>
      </w:r>
      <w:r w:rsidR="0032034F">
        <w:rPr>
          <w:rFonts w:hint="eastAsia"/>
        </w:rPr>
        <w:t>（</w:t>
      </w:r>
      <w:r w:rsidR="0032034F">
        <w:rPr>
          <w:rFonts w:hint="eastAsia"/>
        </w:rPr>
        <w:t>ASIC</w:t>
      </w:r>
      <w:r w:rsidR="0032034F">
        <w:rPr>
          <w:rFonts w:hint="eastAsia"/>
        </w:rPr>
        <w:t>）</w:t>
      </w:r>
      <w:r>
        <w:rPr>
          <w:rFonts w:hint="eastAsia"/>
        </w:rPr>
        <w:t>。</w:t>
      </w:r>
      <w:r>
        <w:rPr>
          <w:rFonts w:hint="eastAsia"/>
        </w:rPr>
        <w:t>1999</w:t>
      </w:r>
      <w:r>
        <w:rPr>
          <w:rFonts w:hint="eastAsia"/>
        </w:rPr>
        <w:t>年</w:t>
      </w:r>
      <w:r>
        <w:t>，超级年金</w:t>
      </w:r>
      <w:r>
        <w:rPr>
          <w:rFonts w:hint="eastAsia"/>
        </w:rPr>
        <w:t>保障法</w:t>
      </w:r>
      <w:r>
        <w:t>修正案提出建立</w:t>
      </w:r>
      <w:r>
        <w:rPr>
          <w:rFonts w:hint="eastAsia"/>
        </w:rPr>
        <w:t>自营型</w:t>
      </w:r>
      <w:r>
        <w:t>超级年金，并将监管责任主体确定为</w:t>
      </w:r>
      <w:r>
        <w:rPr>
          <w:rFonts w:hint="eastAsia"/>
        </w:rPr>
        <w:t>澳大利亚</w:t>
      </w:r>
      <w:r>
        <w:t>税务局</w:t>
      </w:r>
      <w:r>
        <w:rPr>
          <w:rFonts w:hint="eastAsia"/>
        </w:rPr>
        <w:t>。这几部</w:t>
      </w:r>
      <w:r>
        <w:t>重要的</w:t>
      </w:r>
      <w:r w:rsidR="001062A5">
        <w:rPr>
          <w:rFonts w:hint="eastAsia"/>
        </w:rPr>
        <w:t>法案</w:t>
      </w:r>
      <w:r>
        <w:t>确立了澳大利亚超级年金的三个监管主体</w:t>
      </w:r>
      <w:r>
        <w:rPr>
          <w:rFonts w:hint="eastAsia"/>
        </w:rPr>
        <w:t>，</w:t>
      </w:r>
      <w:r>
        <w:t>形成了澳大利亚超级年金的监管体系。</w:t>
      </w:r>
    </w:p>
    <w:p w:rsidR="00A07C21" w:rsidRDefault="00A07C21" w:rsidP="00B346B1"/>
    <w:p w:rsidR="00B346B1" w:rsidRDefault="00B346B1" w:rsidP="00B346B1">
      <w:r>
        <w:rPr>
          <w:rFonts w:hint="eastAsia"/>
        </w:rPr>
        <w:t>澳大利亚</w:t>
      </w:r>
      <w:r>
        <w:t>审慎监管局</w:t>
      </w:r>
      <w:r>
        <w:rPr>
          <w:rFonts w:hint="eastAsia"/>
        </w:rPr>
        <w:t>（</w:t>
      </w:r>
      <w:r>
        <w:rPr>
          <w:rFonts w:hint="eastAsia"/>
        </w:rPr>
        <w:t>APRA</w:t>
      </w:r>
      <w:r>
        <w:rPr>
          <w:rFonts w:hint="eastAsia"/>
        </w:rPr>
        <w:t>）是澳大利亚</w:t>
      </w:r>
      <w:r>
        <w:t>金融服务业的</w:t>
      </w:r>
      <w:r>
        <w:rPr>
          <w:rFonts w:hint="eastAsia"/>
        </w:rPr>
        <w:t>审慎</w:t>
      </w:r>
      <w:r>
        <w:t>监管部门，</w:t>
      </w:r>
      <w:r>
        <w:rPr>
          <w:rFonts w:hint="eastAsia"/>
        </w:rPr>
        <w:t>它</w:t>
      </w:r>
      <w:r>
        <w:t>管理包括银行</w:t>
      </w:r>
      <w:r>
        <w:rPr>
          <w:rFonts w:hint="eastAsia"/>
        </w:rPr>
        <w:t>、信用</w:t>
      </w:r>
      <w:r>
        <w:t>合作社、基金会、保险</w:t>
      </w:r>
      <w:r>
        <w:rPr>
          <w:rFonts w:hint="eastAsia"/>
        </w:rPr>
        <w:t>和</w:t>
      </w:r>
      <w:r>
        <w:t>再保险</w:t>
      </w:r>
      <w:r>
        <w:rPr>
          <w:rFonts w:hint="eastAsia"/>
        </w:rPr>
        <w:t>以及大部分</w:t>
      </w:r>
      <w:r>
        <w:t>的超级年金行业。</w:t>
      </w:r>
      <w:r>
        <w:rPr>
          <w:rFonts w:hint="eastAsia"/>
        </w:rPr>
        <w:t>审慎监管局</w:t>
      </w:r>
      <w:r>
        <w:t>对超级年金的监管以许可证的</w:t>
      </w:r>
      <w:r>
        <w:rPr>
          <w:rFonts w:hint="eastAsia"/>
        </w:rPr>
        <w:t>形式</w:t>
      </w:r>
      <w:r>
        <w:t>呈现，</w:t>
      </w:r>
      <w:r>
        <w:rPr>
          <w:rFonts w:hint="eastAsia"/>
        </w:rPr>
        <w:t>所有</w:t>
      </w:r>
      <w:r>
        <w:t>的超级年金基金都必须取得注册超级年金基金许可证（</w:t>
      </w:r>
      <w:r>
        <w:rPr>
          <w:rFonts w:hint="eastAsia"/>
        </w:rPr>
        <w:t>RSE</w:t>
      </w:r>
      <w:r>
        <w:t>）</w:t>
      </w:r>
      <w:r>
        <w:rPr>
          <w:rFonts w:hint="eastAsia"/>
        </w:rPr>
        <w:t>。审慎</w:t>
      </w:r>
      <w:r>
        <w:t>监管局</w:t>
      </w:r>
      <w:r>
        <w:rPr>
          <w:rFonts w:hint="eastAsia"/>
        </w:rPr>
        <w:t>对</w:t>
      </w:r>
      <w:r>
        <w:t>RSE</w:t>
      </w:r>
      <w:r>
        <w:t>的监管</w:t>
      </w:r>
      <w:r w:rsidR="00FD38D8">
        <w:rPr>
          <w:rFonts w:hint="eastAsia"/>
        </w:rPr>
        <w:t>内容</w:t>
      </w:r>
      <w:r>
        <w:t>包括：操作风险财务要求、</w:t>
      </w:r>
      <w:r>
        <w:rPr>
          <w:rFonts w:hint="eastAsia"/>
        </w:rPr>
        <w:t>待遇</w:t>
      </w:r>
      <w:r>
        <w:t>确定型</w:t>
      </w:r>
      <w:r>
        <w:rPr>
          <w:rFonts w:hint="eastAsia"/>
        </w:rPr>
        <w:t>问题</w:t>
      </w:r>
      <w:r>
        <w:t>、风险管理、</w:t>
      </w:r>
      <w:r>
        <w:rPr>
          <w:rFonts w:hint="eastAsia"/>
        </w:rPr>
        <w:t>非</w:t>
      </w:r>
      <w:r>
        <w:t>集中清算衍生工具的保证金和风险缓释、外包业务、业务连续性</w:t>
      </w:r>
      <w:r>
        <w:rPr>
          <w:rFonts w:hint="eastAsia"/>
        </w:rPr>
        <w:t>管理</w:t>
      </w:r>
      <w:r>
        <w:t>、超级年金保险、审计、</w:t>
      </w:r>
      <w:r w:rsidR="00EC020B">
        <w:t>My</w:t>
      </w:r>
      <w:r>
        <w:t>Super</w:t>
      </w:r>
      <w:r>
        <w:t>账户转移、滚存</w:t>
      </w:r>
      <w:r>
        <w:rPr>
          <w:rFonts w:hint="eastAsia"/>
        </w:rPr>
        <w:t>型</w:t>
      </w:r>
      <w:r>
        <w:t>基金、</w:t>
      </w:r>
      <w:r>
        <w:rPr>
          <w:rFonts w:hint="eastAsia"/>
        </w:rPr>
        <w:t>公司</w:t>
      </w:r>
      <w:r>
        <w:t>管理、</w:t>
      </w:r>
      <w:r>
        <w:rPr>
          <w:rFonts w:hint="eastAsia"/>
        </w:rPr>
        <w:t>适当性</w:t>
      </w:r>
      <w:r>
        <w:t>、利益冲突、投资管理。</w:t>
      </w:r>
      <w:r>
        <w:rPr>
          <w:rFonts w:hint="eastAsia"/>
        </w:rPr>
        <w:t>超级</w:t>
      </w:r>
      <w:r>
        <w:t>年金基金每个季度</w:t>
      </w:r>
      <w:r>
        <w:rPr>
          <w:rFonts w:hint="eastAsia"/>
        </w:rPr>
        <w:t>向</w:t>
      </w:r>
      <w:r>
        <w:t>审慎监管局报告基金运行的情况。</w:t>
      </w:r>
    </w:p>
    <w:p w:rsidR="00A07C21" w:rsidRDefault="00A07C21" w:rsidP="00B346B1"/>
    <w:p w:rsidR="00B346B1" w:rsidRDefault="0032034F" w:rsidP="00B346B1">
      <w:r w:rsidRPr="0032034F">
        <w:rPr>
          <w:rFonts w:hint="eastAsia"/>
        </w:rPr>
        <w:t>澳大利亚证券</w:t>
      </w:r>
      <w:r w:rsidR="00B346B1" w:rsidRPr="0032034F">
        <w:rPr>
          <w:rFonts w:hint="eastAsia"/>
        </w:rPr>
        <w:t>投资委员会</w:t>
      </w:r>
      <w:r w:rsidR="00B346B1">
        <w:rPr>
          <w:rFonts w:hint="eastAsia"/>
        </w:rPr>
        <w:t>（</w:t>
      </w:r>
      <w:r w:rsidR="00B346B1">
        <w:rPr>
          <w:rFonts w:hint="eastAsia"/>
        </w:rPr>
        <w:t>ASI</w:t>
      </w:r>
      <w:r w:rsidR="00B346B1">
        <w:t>C</w:t>
      </w:r>
      <w:r w:rsidR="00B346B1">
        <w:rPr>
          <w:rFonts w:hint="eastAsia"/>
        </w:rPr>
        <w:t>）</w:t>
      </w:r>
      <w:r w:rsidR="00B346B1">
        <w:t>成立于</w:t>
      </w:r>
      <w:r w:rsidR="00B346B1">
        <w:rPr>
          <w:rFonts w:hint="eastAsia"/>
        </w:rPr>
        <w:t>1998</w:t>
      </w:r>
      <w:r w:rsidR="00B346B1">
        <w:rPr>
          <w:rFonts w:hint="eastAsia"/>
        </w:rPr>
        <w:t>年</w:t>
      </w:r>
      <w:r w:rsidR="00B346B1">
        <w:t>，</w:t>
      </w:r>
      <w:r w:rsidR="00B346B1">
        <w:rPr>
          <w:rFonts w:hint="eastAsia"/>
        </w:rPr>
        <w:t>是澳大利亚</w:t>
      </w:r>
      <w:r w:rsidR="00B346B1">
        <w:t>的公司、市场和金融服务</w:t>
      </w:r>
      <w:r w:rsidR="00B346B1">
        <w:rPr>
          <w:rFonts w:hint="eastAsia"/>
        </w:rPr>
        <w:t>的</w:t>
      </w:r>
      <w:r w:rsidR="00B346B1">
        <w:t>监管</w:t>
      </w:r>
      <w:r w:rsidR="00B346B1">
        <w:rPr>
          <w:rFonts w:hint="eastAsia"/>
        </w:rPr>
        <w:t>部门，</w:t>
      </w:r>
      <w:r w:rsidR="00B346B1">
        <w:t>负责超级年金的行为监管。</w:t>
      </w:r>
      <w:r w:rsidR="00B346B1">
        <w:rPr>
          <w:rFonts w:hint="eastAsia"/>
        </w:rPr>
        <w:t>ASIC</w:t>
      </w:r>
      <w:r w:rsidR="00B346B1">
        <w:t>对超级年金的监管也以许可证的</w:t>
      </w:r>
      <w:r w:rsidR="00B346B1">
        <w:rPr>
          <w:rFonts w:hint="eastAsia"/>
        </w:rPr>
        <w:t>形式</w:t>
      </w:r>
      <w:r w:rsidR="00B346B1">
        <w:t>呈现，超级年金基金必须持有澳大利亚金融服务许可证（</w:t>
      </w:r>
      <w:r w:rsidR="00B346B1">
        <w:rPr>
          <w:rFonts w:hint="eastAsia"/>
        </w:rPr>
        <w:t>AFS</w:t>
      </w:r>
      <w:r w:rsidR="00B346B1">
        <w:t>）</w:t>
      </w:r>
      <w:r w:rsidR="00B346B1">
        <w:rPr>
          <w:rFonts w:hint="eastAsia"/>
        </w:rPr>
        <w:t>。</w:t>
      </w:r>
      <w:r w:rsidR="00B346B1">
        <w:t>ASIC</w:t>
      </w:r>
      <w:r w:rsidR="00B346B1">
        <w:rPr>
          <w:rFonts w:hint="eastAsia"/>
        </w:rPr>
        <w:t>主要负责</w:t>
      </w:r>
      <w:r w:rsidR="00B346B1">
        <w:t>超级年金的</w:t>
      </w:r>
      <w:r w:rsidR="00B346B1">
        <w:rPr>
          <w:rFonts w:hint="eastAsia"/>
        </w:rPr>
        <w:t>经营</w:t>
      </w:r>
      <w:r w:rsidR="00B346B1">
        <w:t>行为和信息披露，</w:t>
      </w:r>
      <w:r w:rsidR="00B346B1">
        <w:rPr>
          <w:rFonts w:hint="eastAsia"/>
        </w:rPr>
        <w:t>关注于</w:t>
      </w:r>
      <w:r w:rsidR="00B346B1">
        <w:t>超级年金基金</w:t>
      </w:r>
      <w:r w:rsidR="00B346B1">
        <w:rPr>
          <w:rFonts w:hint="eastAsia"/>
        </w:rPr>
        <w:t>和投资者</w:t>
      </w:r>
      <w:r w:rsidR="00B346B1">
        <w:t>的关系，</w:t>
      </w:r>
      <w:r w:rsidR="00B346B1">
        <w:rPr>
          <w:rFonts w:hint="eastAsia"/>
        </w:rPr>
        <w:t>确保</w:t>
      </w:r>
      <w:r w:rsidR="00B346B1">
        <w:t>客户能够获得合适的信息披露</w:t>
      </w:r>
      <w:r w:rsidR="00B346B1">
        <w:rPr>
          <w:rFonts w:hint="eastAsia"/>
        </w:rPr>
        <w:t>、</w:t>
      </w:r>
      <w:r w:rsidR="00B346B1">
        <w:t>受到</w:t>
      </w:r>
      <w:r w:rsidR="00B346B1">
        <w:rPr>
          <w:rFonts w:hint="eastAsia"/>
        </w:rPr>
        <w:t>公正合理</w:t>
      </w:r>
      <w:r w:rsidR="00B346B1">
        <w:t>的待遇、</w:t>
      </w:r>
      <w:r w:rsidR="00B346B1">
        <w:rPr>
          <w:rFonts w:hint="eastAsia"/>
        </w:rPr>
        <w:t>持续</w:t>
      </w:r>
      <w:r w:rsidR="00B346B1">
        <w:t>获得关于投资活动的信息</w:t>
      </w:r>
      <w:r w:rsidR="00B346B1">
        <w:rPr>
          <w:rFonts w:hint="eastAsia"/>
        </w:rPr>
        <w:t>和畅通</w:t>
      </w:r>
      <w:r w:rsidR="00B346B1">
        <w:t>的投诉渠道</w:t>
      </w:r>
      <w:r w:rsidR="00B346B1">
        <w:rPr>
          <w:rFonts w:hint="eastAsia"/>
        </w:rPr>
        <w:t>，</w:t>
      </w:r>
      <w:r w:rsidR="00B346B1">
        <w:t>促进投资者与</w:t>
      </w:r>
      <w:r w:rsidR="00B346B1">
        <w:rPr>
          <w:rFonts w:hint="eastAsia"/>
        </w:rPr>
        <w:t>金融</w:t>
      </w:r>
      <w:r w:rsidR="00B346B1">
        <w:t>机构之间的</w:t>
      </w:r>
      <w:r w:rsidR="00B346B1">
        <w:rPr>
          <w:rFonts w:hint="eastAsia"/>
        </w:rPr>
        <w:t>相互</w:t>
      </w:r>
      <w:r w:rsidR="00B346B1">
        <w:t>信任。</w:t>
      </w:r>
    </w:p>
    <w:p w:rsidR="00A07C21" w:rsidRDefault="00A07C21" w:rsidP="00B346B1"/>
    <w:p w:rsidR="00B346B1" w:rsidRDefault="00B346B1" w:rsidP="00B346B1">
      <w:r>
        <w:rPr>
          <w:rFonts w:hint="eastAsia"/>
        </w:rPr>
        <w:t>澳大利亚</w:t>
      </w:r>
      <w:r>
        <w:t>税务局（</w:t>
      </w:r>
      <w:r>
        <w:rPr>
          <w:rFonts w:hint="eastAsia"/>
        </w:rPr>
        <w:t>ATO</w:t>
      </w:r>
      <w:r>
        <w:t>）</w:t>
      </w:r>
      <w:r>
        <w:rPr>
          <w:rFonts w:hint="eastAsia"/>
        </w:rPr>
        <w:t>是</w:t>
      </w:r>
      <w:r>
        <w:t>自营型超级年金的监管主体。</w:t>
      </w:r>
      <w:r w:rsidR="000B3439">
        <w:rPr>
          <w:rFonts w:hint="eastAsia"/>
        </w:rPr>
        <w:t>由于</w:t>
      </w:r>
      <w:r>
        <w:rPr>
          <w:rFonts w:hint="eastAsia"/>
        </w:rPr>
        <w:t>自营型</w:t>
      </w:r>
      <w:r>
        <w:t>超级年金</w:t>
      </w:r>
      <w:r w:rsidR="000B3439">
        <w:rPr>
          <w:rFonts w:hint="eastAsia"/>
        </w:rPr>
        <w:t>的</w:t>
      </w:r>
      <w:r>
        <w:t>委托人、受托人</w:t>
      </w:r>
      <w:r>
        <w:rPr>
          <w:rFonts w:hint="eastAsia"/>
        </w:rPr>
        <w:t>是统一</w:t>
      </w:r>
      <w:r>
        <w:t>的，</w:t>
      </w:r>
      <w:r w:rsidR="000B3439">
        <w:rPr>
          <w:rFonts w:hint="eastAsia"/>
        </w:rPr>
        <w:t>所以</w:t>
      </w:r>
      <w:r>
        <w:rPr>
          <w:rFonts w:hint="eastAsia"/>
        </w:rPr>
        <w:t>采取</w:t>
      </w:r>
      <w:r>
        <w:t>了不同的监管方式。</w:t>
      </w:r>
      <w:r>
        <w:rPr>
          <w:rFonts w:hint="eastAsia"/>
        </w:rPr>
        <w:t>自营型</w:t>
      </w:r>
      <w:r>
        <w:t>超级年金数量众多</w:t>
      </w:r>
      <w:r>
        <w:rPr>
          <w:rFonts w:hint="eastAsia"/>
        </w:rPr>
        <w:t>而</w:t>
      </w:r>
      <w:r>
        <w:t>又不存在委托</w:t>
      </w:r>
      <w:r>
        <w:t>—</w:t>
      </w:r>
      <w:r>
        <w:rPr>
          <w:rFonts w:hint="eastAsia"/>
        </w:rPr>
        <w:t>代理</w:t>
      </w:r>
      <w:r>
        <w:t>的问题，因此</w:t>
      </w:r>
      <w:r w:rsidR="000B3439">
        <w:rPr>
          <w:rFonts w:hint="eastAsia"/>
        </w:rPr>
        <w:t>澳大</w:t>
      </w:r>
      <w:r w:rsidR="000B3439">
        <w:t>利亚税务局</w:t>
      </w:r>
      <w:r>
        <w:t>主要关注</w:t>
      </w:r>
      <w:r>
        <w:rPr>
          <w:rFonts w:hint="eastAsia"/>
        </w:rPr>
        <w:t>超级</w:t>
      </w:r>
      <w:r>
        <w:t>年金的设立</w:t>
      </w:r>
      <w:r>
        <w:rPr>
          <w:rFonts w:hint="eastAsia"/>
        </w:rPr>
        <w:t>、缴费</w:t>
      </w:r>
      <w:r>
        <w:t>及转换、投资、支付、清算、管理</w:t>
      </w:r>
      <w:r>
        <w:rPr>
          <w:rFonts w:hint="eastAsia"/>
        </w:rPr>
        <w:t>及</w:t>
      </w:r>
      <w:r>
        <w:t>报告</w:t>
      </w:r>
      <w:r>
        <w:rPr>
          <w:rFonts w:hint="eastAsia"/>
        </w:rPr>
        <w:t>、</w:t>
      </w:r>
      <w:r>
        <w:t>审核</w:t>
      </w:r>
      <w:r>
        <w:rPr>
          <w:rFonts w:hint="eastAsia"/>
        </w:rPr>
        <w:t>，</w:t>
      </w:r>
      <w:r>
        <w:t>而监管的核心</w:t>
      </w:r>
      <w:r>
        <w:rPr>
          <w:rFonts w:hint="eastAsia"/>
        </w:rPr>
        <w:t>则是</w:t>
      </w:r>
      <w:r>
        <w:t>超级年金的税收安排。</w:t>
      </w:r>
    </w:p>
    <w:p w:rsidR="00A07C21" w:rsidRDefault="00A07C21" w:rsidP="00B346B1"/>
    <w:p w:rsidR="00B346B1" w:rsidRPr="00AF17B1" w:rsidRDefault="00B346B1" w:rsidP="00B346B1">
      <w:r>
        <w:rPr>
          <w:rFonts w:hint="eastAsia"/>
        </w:rPr>
        <w:t>澳大利亚超级</w:t>
      </w:r>
      <w:r>
        <w:t>年金协会</w:t>
      </w:r>
      <w:r>
        <w:rPr>
          <w:rFonts w:hint="eastAsia"/>
        </w:rPr>
        <w:t>（</w:t>
      </w:r>
      <w:r>
        <w:rPr>
          <w:rFonts w:hint="eastAsia"/>
        </w:rPr>
        <w:t>ASFA</w:t>
      </w:r>
      <w:r>
        <w:rPr>
          <w:rFonts w:hint="eastAsia"/>
        </w:rPr>
        <w:t>）是超级</w:t>
      </w:r>
      <w:r>
        <w:t>年金的行业自律机构</w:t>
      </w:r>
      <w:r w:rsidR="0032034F">
        <w:rPr>
          <w:rFonts w:hint="eastAsia"/>
        </w:rPr>
        <w:t>。</w:t>
      </w:r>
      <w:r>
        <w:t>ASFA</w:t>
      </w:r>
      <w:r>
        <w:t>成立于</w:t>
      </w:r>
      <w:r>
        <w:rPr>
          <w:rFonts w:hint="eastAsia"/>
        </w:rPr>
        <w:t>1962</w:t>
      </w:r>
      <w:r>
        <w:rPr>
          <w:rFonts w:hint="eastAsia"/>
        </w:rPr>
        <w:t>年，</w:t>
      </w:r>
      <w:r>
        <w:t>是一个非盈利组织，</w:t>
      </w:r>
      <w:r>
        <w:rPr>
          <w:rFonts w:hint="eastAsia"/>
        </w:rPr>
        <w:t>负责</w:t>
      </w:r>
      <w:r>
        <w:t>超级年金行业的政策引导、行业</w:t>
      </w:r>
      <w:r>
        <w:rPr>
          <w:rFonts w:hint="eastAsia"/>
        </w:rPr>
        <w:t>研究</w:t>
      </w:r>
      <w:r>
        <w:t>以及宣传工作。</w:t>
      </w:r>
      <w:r>
        <w:rPr>
          <w:rFonts w:hint="eastAsia"/>
        </w:rPr>
        <w:t>ASFA</w:t>
      </w:r>
      <w:r>
        <w:t>的成员包括了行业内各种类型</w:t>
      </w:r>
      <w:r>
        <w:rPr>
          <w:rFonts w:hint="eastAsia"/>
        </w:rPr>
        <w:t>基金</w:t>
      </w:r>
      <w:r>
        <w:t>，覆盖了</w:t>
      </w:r>
      <w:r>
        <w:rPr>
          <w:rFonts w:hint="eastAsia"/>
        </w:rPr>
        <w:t>90</w:t>
      </w:r>
      <w:r>
        <w:t>%</w:t>
      </w:r>
      <w:r>
        <w:t>的</w:t>
      </w:r>
      <w:r>
        <w:rPr>
          <w:rFonts w:hint="eastAsia"/>
        </w:rPr>
        <w:t>超级</w:t>
      </w:r>
      <w:r>
        <w:t>年金实体。</w:t>
      </w:r>
    </w:p>
    <w:p w:rsidR="00D25A6A" w:rsidRPr="006C4ED4" w:rsidRDefault="00A07C21" w:rsidP="0035189F">
      <w:pPr>
        <w:pStyle w:val="1"/>
        <w:jc w:val="center"/>
        <w:rPr>
          <w:sz w:val="32"/>
          <w:szCs w:val="32"/>
        </w:rPr>
      </w:pPr>
      <w:r>
        <w:rPr>
          <w:rStyle w:val="1Char"/>
          <w:rFonts w:hint="eastAsia"/>
          <w:b/>
          <w:sz w:val="32"/>
          <w:szCs w:val="32"/>
        </w:rPr>
        <w:t>三</w:t>
      </w:r>
      <w:r>
        <w:rPr>
          <w:rStyle w:val="1Char"/>
          <w:rFonts w:hint="eastAsia"/>
          <w:b/>
          <w:sz w:val="32"/>
          <w:szCs w:val="32"/>
        </w:rPr>
        <w:t xml:space="preserve"> </w:t>
      </w:r>
      <w:r w:rsidR="00D25A6A" w:rsidRPr="006C4ED4">
        <w:rPr>
          <w:sz w:val="32"/>
          <w:szCs w:val="32"/>
        </w:rPr>
        <w:t>澳大利亚</w:t>
      </w:r>
      <w:r w:rsidR="006E2BF4">
        <w:rPr>
          <w:rFonts w:hint="eastAsia"/>
          <w:sz w:val="32"/>
          <w:szCs w:val="32"/>
        </w:rPr>
        <w:t>自愿型超级</w:t>
      </w:r>
      <w:r w:rsidR="006E2BF4">
        <w:rPr>
          <w:sz w:val="32"/>
          <w:szCs w:val="32"/>
        </w:rPr>
        <w:t>年金</w:t>
      </w:r>
    </w:p>
    <w:p w:rsidR="00D25A6A" w:rsidRPr="006C4ED4" w:rsidRDefault="00A07C21" w:rsidP="006C4ED4">
      <w:pPr>
        <w:pStyle w:val="2"/>
        <w:rPr>
          <w:sz w:val="28"/>
          <w:szCs w:val="28"/>
        </w:rPr>
      </w:pPr>
      <w:r>
        <w:rPr>
          <w:rStyle w:val="2Char"/>
          <w:rFonts w:hint="eastAsia"/>
          <w:sz w:val="28"/>
          <w:szCs w:val="28"/>
        </w:rPr>
        <w:t>（一）</w:t>
      </w:r>
      <w:r w:rsidR="00D25A6A" w:rsidRPr="006C4ED4">
        <w:rPr>
          <w:rFonts w:hint="eastAsia"/>
          <w:sz w:val="28"/>
          <w:szCs w:val="28"/>
        </w:rPr>
        <w:t>澳大利亚</w:t>
      </w:r>
      <w:r w:rsidR="006E2BF4" w:rsidRPr="006E2BF4">
        <w:rPr>
          <w:rFonts w:hint="eastAsia"/>
          <w:sz w:val="28"/>
          <w:szCs w:val="28"/>
        </w:rPr>
        <w:t>自愿型超级年金</w:t>
      </w:r>
      <w:r w:rsidR="00D25A6A" w:rsidRPr="006C4ED4">
        <w:rPr>
          <w:sz w:val="28"/>
          <w:szCs w:val="28"/>
        </w:rPr>
        <w:t>的</w:t>
      </w:r>
      <w:r w:rsidR="00D523E6">
        <w:rPr>
          <w:rFonts w:hint="eastAsia"/>
          <w:sz w:val="28"/>
          <w:szCs w:val="28"/>
        </w:rPr>
        <w:t>资产</w:t>
      </w:r>
      <w:r w:rsidR="00D25A6A" w:rsidRPr="006C4ED4">
        <w:rPr>
          <w:sz w:val="28"/>
          <w:szCs w:val="28"/>
        </w:rPr>
        <w:t>管理</w:t>
      </w:r>
    </w:p>
    <w:p w:rsidR="00D25A6A" w:rsidRDefault="00D25A6A" w:rsidP="00D25A6A">
      <w:r>
        <w:rPr>
          <w:rFonts w:hint="eastAsia"/>
        </w:rPr>
        <w:t>由于</w:t>
      </w:r>
      <w:r w:rsidR="00597684">
        <w:t>自愿型超级年金</w:t>
      </w:r>
      <w:r>
        <w:t>的投资</w:t>
      </w:r>
      <w:r>
        <w:rPr>
          <w:rFonts w:hint="eastAsia"/>
        </w:rPr>
        <w:t>与</w:t>
      </w:r>
      <w:r w:rsidR="00A07C21">
        <w:t>保障型超级年金采用的是同一个模式，没有单独</w:t>
      </w:r>
      <w:r>
        <w:t>分离出来，因</w:t>
      </w:r>
      <w:r>
        <w:lastRenderedPageBreak/>
        <w:t>此</w:t>
      </w:r>
      <w:r>
        <w:rPr>
          <w:rFonts w:hint="eastAsia"/>
        </w:rPr>
        <w:t>两者</w:t>
      </w:r>
      <w:r>
        <w:t>在投资管理的模式上</w:t>
      </w:r>
      <w:r>
        <w:rPr>
          <w:rFonts w:hint="eastAsia"/>
        </w:rPr>
        <w:t>并</w:t>
      </w:r>
      <w:r>
        <w:t>没有差别，但是我们依然可以通过数据来观察</w:t>
      </w:r>
      <w:r w:rsidR="00597684">
        <w:rPr>
          <w:rFonts w:hint="eastAsia"/>
        </w:rPr>
        <w:t>自愿型超级</w:t>
      </w:r>
      <w:r w:rsidR="00597684">
        <w:t>年金</w:t>
      </w:r>
      <w:r w:rsidR="00A07C21">
        <w:t>投资的</w:t>
      </w:r>
      <w:r w:rsidR="00A07C21">
        <w:rPr>
          <w:rFonts w:hint="eastAsia"/>
        </w:rPr>
        <w:t>特点</w:t>
      </w:r>
      <w:r>
        <w:t>。</w:t>
      </w:r>
    </w:p>
    <w:p w:rsidR="00A07C21" w:rsidRDefault="00A07C21" w:rsidP="00D25A6A"/>
    <w:p w:rsidR="00D25A6A" w:rsidRDefault="00D25A6A" w:rsidP="00D25A6A">
      <w:r>
        <w:rPr>
          <w:rFonts w:hint="eastAsia"/>
        </w:rPr>
        <w:t>截至</w:t>
      </w:r>
      <w:r>
        <w:rPr>
          <w:rFonts w:hint="eastAsia"/>
        </w:rPr>
        <w:t>2017</w:t>
      </w:r>
      <w:r>
        <w:rPr>
          <w:rFonts w:hint="eastAsia"/>
        </w:rPr>
        <w:t>年底</w:t>
      </w:r>
      <w:r>
        <w:t>，</w:t>
      </w:r>
      <w:r w:rsidRPr="00D60854">
        <w:t>199</w:t>
      </w:r>
      <w:r w:rsidR="008F6EB6" w:rsidRPr="00D60854">
        <w:rPr>
          <w:rFonts w:hint="eastAsia"/>
        </w:rPr>
        <w:t>只</w:t>
      </w:r>
      <w:r w:rsidRPr="00D60854">
        <w:rPr>
          <w:rFonts w:hint="eastAsia"/>
        </w:rPr>
        <w:t>注册的超级年金基金的雇</w:t>
      </w:r>
      <w:r w:rsidR="00C8013F">
        <w:rPr>
          <w:rFonts w:hint="eastAsia"/>
        </w:rPr>
        <w:t>主</w:t>
      </w:r>
      <w:r w:rsidRPr="00D60854">
        <w:rPr>
          <w:rFonts w:hint="eastAsia"/>
        </w:rPr>
        <w:t>缴费为</w:t>
      </w:r>
      <w:r w:rsidRPr="00D60854">
        <w:t>640.7</w:t>
      </w:r>
      <w:r w:rsidRPr="00D60854">
        <w:rPr>
          <w:rFonts w:hint="eastAsia"/>
        </w:rPr>
        <w:t>亿澳元，其中</w:t>
      </w:r>
      <w:r w:rsidR="00156761">
        <w:rPr>
          <w:rFonts w:hint="eastAsia"/>
        </w:rPr>
        <w:t>个税福利抵扣</w:t>
      </w:r>
      <w:r w:rsidRPr="00D60854">
        <w:rPr>
          <w:rFonts w:hint="eastAsia"/>
        </w:rPr>
        <w:t>缴费</w:t>
      </w:r>
      <w:r w:rsidRPr="00D60854">
        <w:t>77.3</w:t>
      </w:r>
      <w:r w:rsidRPr="00D60854">
        <w:rPr>
          <w:rFonts w:hint="eastAsia"/>
        </w:rPr>
        <w:t>亿澳元，另外个人缴费</w:t>
      </w:r>
      <w:r w:rsidR="00C8013F">
        <w:t>291.7</w:t>
      </w:r>
      <w:r w:rsidRPr="00D60854">
        <w:rPr>
          <w:rFonts w:hint="eastAsia"/>
        </w:rPr>
        <w:t>亿澳元。</w:t>
      </w:r>
      <w:r>
        <w:rPr>
          <w:rFonts w:hint="eastAsia"/>
        </w:rPr>
        <w:t>个人</w:t>
      </w:r>
      <w:r>
        <w:t>缴费最多</w:t>
      </w:r>
      <w:r w:rsidR="00D60854">
        <w:rPr>
          <w:rFonts w:hint="eastAsia"/>
        </w:rPr>
        <w:t>的</w:t>
      </w:r>
      <w:r>
        <w:rPr>
          <w:rFonts w:hint="eastAsia"/>
        </w:rPr>
        <w:t>基金</w:t>
      </w:r>
      <w:r>
        <w:t>包括</w:t>
      </w:r>
      <w:r>
        <w:rPr>
          <w:rFonts w:hint="eastAsia"/>
        </w:rPr>
        <w:t>Australia</w:t>
      </w:r>
      <w:r>
        <w:t>nSuper</w:t>
      </w:r>
      <w:r>
        <w:rPr>
          <w:rFonts w:hint="eastAsia"/>
        </w:rPr>
        <w:t>（行业），</w:t>
      </w:r>
      <w:r>
        <w:t>Colonial First State FirstChoice Superannuation Trust</w:t>
      </w:r>
      <w:r>
        <w:rPr>
          <w:rFonts w:hint="eastAsia"/>
        </w:rPr>
        <w:t>（零售）和</w:t>
      </w:r>
      <w:r>
        <w:t>QSuper</w:t>
      </w:r>
      <w:r>
        <w:rPr>
          <w:rFonts w:hint="eastAsia"/>
        </w:rPr>
        <w:t>（公共</w:t>
      </w:r>
      <w:r>
        <w:t>部门</w:t>
      </w:r>
      <w:r>
        <w:rPr>
          <w:rFonts w:hint="eastAsia"/>
        </w:rPr>
        <w:t>）等</w:t>
      </w:r>
      <w:r>
        <w:t>大型年金实体所管理的基金。</w:t>
      </w:r>
      <w:r>
        <w:rPr>
          <w:rFonts w:hint="eastAsia"/>
        </w:rPr>
        <w:t>这</w:t>
      </w:r>
      <w:r>
        <w:rPr>
          <w:rFonts w:hint="eastAsia"/>
        </w:rPr>
        <w:t>199</w:t>
      </w:r>
      <w:r w:rsidR="008F6EB6">
        <w:rPr>
          <w:rFonts w:hint="eastAsia"/>
        </w:rPr>
        <w:t>只</w:t>
      </w:r>
      <w:r>
        <w:t>基金管理</w:t>
      </w:r>
      <w:r>
        <w:rPr>
          <w:rFonts w:hint="eastAsia"/>
        </w:rPr>
        <w:t>1.4</w:t>
      </w:r>
      <w:r>
        <w:rPr>
          <w:rFonts w:hint="eastAsia"/>
        </w:rPr>
        <w:t>万亿</w:t>
      </w:r>
      <w:r>
        <w:t>的超级年金投资，如之前所介绍的，主要投资于现金、</w:t>
      </w:r>
      <w:r>
        <w:rPr>
          <w:rFonts w:hint="eastAsia"/>
        </w:rPr>
        <w:t>债券</w:t>
      </w:r>
      <w:r>
        <w:t>、股票、</w:t>
      </w:r>
      <w:r>
        <w:rPr>
          <w:rFonts w:hint="eastAsia"/>
        </w:rPr>
        <w:t>房地产</w:t>
      </w:r>
      <w:r>
        <w:t>、</w:t>
      </w:r>
      <w:r>
        <w:rPr>
          <w:rFonts w:hint="eastAsia"/>
        </w:rPr>
        <w:t>基础设施</w:t>
      </w:r>
      <w:r>
        <w:t>、商品和</w:t>
      </w:r>
      <w:r>
        <w:rPr>
          <w:rFonts w:hint="eastAsia"/>
        </w:rPr>
        <w:t>其他</w:t>
      </w:r>
      <w:r>
        <w:t>投资品</w:t>
      </w:r>
      <w:r>
        <w:rPr>
          <w:rFonts w:hint="eastAsia"/>
        </w:rPr>
        <w:t>。选取</w:t>
      </w:r>
      <w:r>
        <w:rPr>
          <w:rFonts w:hint="eastAsia"/>
        </w:rPr>
        <w:t>199</w:t>
      </w:r>
      <w:r w:rsidR="008F6EB6">
        <w:rPr>
          <w:rFonts w:hint="eastAsia"/>
        </w:rPr>
        <w:t>只</w:t>
      </w:r>
      <w:r>
        <w:t>基金中有</w:t>
      </w:r>
      <w:r>
        <w:rPr>
          <w:rFonts w:hint="eastAsia"/>
        </w:rPr>
        <w:t>个人</w:t>
      </w:r>
      <w:r>
        <w:t>缴费</w:t>
      </w:r>
      <w:r>
        <w:rPr>
          <w:rFonts w:hint="eastAsia"/>
        </w:rPr>
        <w:t>的</w:t>
      </w:r>
      <w:r w:rsidR="008F6EB6">
        <w:rPr>
          <w:rFonts w:hint="eastAsia"/>
        </w:rPr>
        <w:t>148</w:t>
      </w:r>
      <w:r w:rsidR="008F6EB6">
        <w:rPr>
          <w:rFonts w:hint="eastAsia"/>
        </w:rPr>
        <w:t>只</w:t>
      </w:r>
      <w:r>
        <w:t>基金</w:t>
      </w:r>
      <w:r>
        <w:rPr>
          <w:rFonts w:hint="eastAsia"/>
        </w:rPr>
        <w:t>，</w:t>
      </w:r>
      <w:r>
        <w:t>并按照</w:t>
      </w:r>
      <w:r w:rsidR="00597684">
        <w:rPr>
          <w:rFonts w:hint="eastAsia"/>
        </w:rPr>
        <w:t>自愿型超级</w:t>
      </w:r>
      <w:r w:rsidR="00597684">
        <w:t>年金</w:t>
      </w:r>
      <w:r w:rsidR="00A728BD">
        <w:t>（包括</w:t>
      </w:r>
      <w:r w:rsidR="00156761">
        <w:t>个税福利抵扣</w:t>
      </w:r>
      <w:r w:rsidR="00A728BD">
        <w:t>和个人</w:t>
      </w:r>
      <w:r w:rsidR="00A728BD">
        <w:rPr>
          <w:rFonts w:hint="eastAsia"/>
        </w:rPr>
        <w:t>缴费</w:t>
      </w:r>
      <w:r w:rsidR="00A728BD">
        <w:t>）</w:t>
      </w:r>
      <w:r>
        <w:rPr>
          <w:rFonts w:hint="eastAsia"/>
        </w:rPr>
        <w:t>占</w:t>
      </w:r>
      <w:r w:rsidR="00597684">
        <w:rPr>
          <w:rFonts w:hint="eastAsia"/>
        </w:rPr>
        <w:t>总超级</w:t>
      </w:r>
      <w:r w:rsidR="00597684">
        <w:t>年金</w:t>
      </w:r>
      <w:r>
        <w:t>的比例进行排序</w:t>
      </w:r>
      <w:r>
        <w:rPr>
          <w:rFonts w:hint="eastAsia"/>
        </w:rPr>
        <w:t>。对</w:t>
      </w:r>
      <w:r w:rsidR="00597684">
        <w:rPr>
          <w:rFonts w:hint="eastAsia"/>
        </w:rPr>
        <w:t>自愿型超级</w:t>
      </w:r>
      <w:r w:rsidR="00597684">
        <w:t>年金</w:t>
      </w:r>
      <w:r>
        <w:rPr>
          <w:rFonts w:hint="eastAsia"/>
        </w:rPr>
        <w:t>占比</w:t>
      </w:r>
      <w:r>
        <w:t>较高的</w:t>
      </w:r>
      <w:r>
        <w:rPr>
          <w:rFonts w:hint="eastAsia"/>
        </w:rPr>
        <w:t>前</w:t>
      </w:r>
      <w:r>
        <w:rPr>
          <w:rFonts w:hint="eastAsia"/>
        </w:rPr>
        <w:t>74</w:t>
      </w:r>
      <w:r w:rsidR="008F6EB6">
        <w:rPr>
          <w:rFonts w:hint="eastAsia"/>
        </w:rPr>
        <w:t>只</w:t>
      </w:r>
      <w:r>
        <w:t>基金和</w:t>
      </w:r>
      <w:r w:rsidR="00597684">
        <w:rPr>
          <w:rFonts w:hint="eastAsia"/>
        </w:rPr>
        <w:t>自愿型</w:t>
      </w:r>
      <w:r w:rsidR="00597684">
        <w:t>超级年金</w:t>
      </w:r>
      <w:r w:rsidR="008F6EB6">
        <w:rPr>
          <w:rFonts w:hint="eastAsia"/>
        </w:rPr>
        <w:t>占比</w:t>
      </w:r>
      <w:r>
        <w:t>较低的</w:t>
      </w:r>
      <w:r>
        <w:rPr>
          <w:rFonts w:hint="eastAsia"/>
        </w:rPr>
        <w:t>后</w:t>
      </w:r>
      <w:r>
        <w:rPr>
          <w:rFonts w:hint="eastAsia"/>
        </w:rPr>
        <w:t>74</w:t>
      </w:r>
      <w:r w:rsidR="008F6EB6">
        <w:rPr>
          <w:rFonts w:hint="eastAsia"/>
        </w:rPr>
        <w:t>只</w:t>
      </w:r>
      <w:r>
        <w:t>基金进行投资品种结构上的对比。</w:t>
      </w:r>
    </w:p>
    <w:p w:rsidR="0035189F" w:rsidRDefault="0035189F" w:rsidP="0035189F"/>
    <w:p w:rsidR="0035189F" w:rsidRPr="00046574" w:rsidRDefault="0035189F" w:rsidP="0035189F">
      <w:r>
        <w:rPr>
          <w:rFonts w:hint="eastAsia"/>
        </w:rPr>
        <w:t>从</w:t>
      </w:r>
      <w:r>
        <w:t>表</w:t>
      </w:r>
      <w:r>
        <w:rPr>
          <w:rFonts w:hint="eastAsia"/>
        </w:rPr>
        <w:t>8</w:t>
      </w:r>
      <w:r>
        <w:t>中对比可以看到，</w:t>
      </w:r>
      <w:r>
        <w:rPr>
          <w:rFonts w:hint="eastAsia"/>
        </w:rPr>
        <w:t>自愿型超级</w:t>
      </w:r>
      <w:r>
        <w:t>年金</w:t>
      </w:r>
      <w:r>
        <w:rPr>
          <w:rFonts w:hint="eastAsia"/>
        </w:rPr>
        <w:t>缴费</w:t>
      </w:r>
      <w:r>
        <w:t>较多的基金在现金和债券的配置上较多，在权益类配置上</w:t>
      </w:r>
      <w:r>
        <w:rPr>
          <w:rFonts w:hint="eastAsia"/>
        </w:rPr>
        <w:t>相对</w:t>
      </w:r>
      <w:r>
        <w:t>较少</w:t>
      </w:r>
      <w:r>
        <w:rPr>
          <w:rFonts w:hint="eastAsia"/>
        </w:rPr>
        <w:t>，</w:t>
      </w:r>
      <w:r>
        <w:t>且</w:t>
      </w:r>
      <w:r>
        <w:rPr>
          <w:rFonts w:hint="eastAsia"/>
        </w:rPr>
        <w:t>在</w:t>
      </w:r>
      <w:r>
        <w:t>统计上显著。</w:t>
      </w:r>
      <w:r>
        <w:rPr>
          <w:rFonts w:hint="eastAsia"/>
        </w:rPr>
        <w:t>而自愿型超级年金缴费比例</w:t>
      </w:r>
      <w:r>
        <w:t>较少的基金则在</w:t>
      </w:r>
      <w:r>
        <w:rPr>
          <w:rFonts w:hint="eastAsia"/>
        </w:rPr>
        <w:t>股票</w:t>
      </w:r>
      <w:r>
        <w:t>、房地产、基础设施上的配置较多</w:t>
      </w:r>
      <w:r>
        <w:rPr>
          <w:rFonts w:hint="eastAsia"/>
        </w:rPr>
        <w:t>。即自愿型超级</w:t>
      </w:r>
      <w:r>
        <w:t>年金的投资倾向于更加保守的投资，权益类投资</w:t>
      </w:r>
      <w:r>
        <w:rPr>
          <w:rFonts w:hint="eastAsia"/>
        </w:rPr>
        <w:t>相对</w:t>
      </w:r>
      <w:r>
        <w:t>较少</w:t>
      </w:r>
      <w:r>
        <w:rPr>
          <w:rFonts w:hint="eastAsia"/>
        </w:rPr>
        <w:t>，自愿型超级</w:t>
      </w:r>
      <w:r>
        <w:t>年金</w:t>
      </w:r>
      <w:r>
        <w:rPr>
          <w:rFonts w:hint="eastAsia"/>
        </w:rPr>
        <w:t>缴费</w:t>
      </w:r>
      <w:r>
        <w:t>比例与</w:t>
      </w:r>
      <w:r>
        <w:rPr>
          <w:rFonts w:hint="eastAsia"/>
        </w:rPr>
        <w:t>权益类</w:t>
      </w:r>
      <w:r>
        <w:t>投资</w:t>
      </w:r>
      <w:r>
        <w:rPr>
          <w:rFonts w:hint="eastAsia"/>
        </w:rPr>
        <w:t>的</w:t>
      </w:r>
      <w:r>
        <w:t>配置（</w:t>
      </w:r>
      <w:r>
        <w:rPr>
          <w:rFonts w:hint="eastAsia"/>
        </w:rPr>
        <w:t>包括</w:t>
      </w:r>
      <w:r>
        <w:t>股票、地产</w:t>
      </w:r>
      <w:r>
        <w:rPr>
          <w:rFonts w:hint="eastAsia"/>
        </w:rPr>
        <w:t>、</w:t>
      </w:r>
      <w:r>
        <w:t>基础设施和其他）</w:t>
      </w:r>
      <w:r>
        <w:rPr>
          <w:rFonts w:hint="eastAsia"/>
        </w:rPr>
        <w:t>存在弱</w:t>
      </w:r>
      <w:r>
        <w:t>的</w:t>
      </w:r>
      <w:r>
        <w:rPr>
          <w:rFonts w:hint="eastAsia"/>
        </w:rPr>
        <w:t>负</w:t>
      </w:r>
      <w:r>
        <w:t>相关性</w:t>
      </w:r>
      <w:r>
        <w:rPr>
          <w:rFonts w:hint="eastAsia"/>
        </w:rPr>
        <w:t>。</w:t>
      </w:r>
    </w:p>
    <w:p w:rsidR="002F629E" w:rsidRDefault="002F629E" w:rsidP="00D25A6A"/>
    <w:p w:rsidR="006A7805" w:rsidRPr="0035189F" w:rsidRDefault="006A7805" w:rsidP="004002FA">
      <w:pPr>
        <w:pStyle w:val="af"/>
        <w:keepNext/>
        <w:jc w:val="center"/>
        <w:rPr>
          <w:b/>
        </w:rPr>
      </w:pPr>
      <w:r w:rsidRPr="0035189F">
        <w:rPr>
          <w:rFonts w:hint="eastAsia"/>
          <w:b/>
        </w:rPr>
        <w:t>表</w:t>
      </w:r>
      <w:r w:rsidRPr="0035189F">
        <w:rPr>
          <w:rFonts w:hint="eastAsia"/>
          <w:b/>
        </w:rPr>
        <w:t xml:space="preserve"> </w:t>
      </w:r>
      <w:r w:rsidR="00A07C21" w:rsidRPr="0035189F">
        <w:rPr>
          <w:rFonts w:hint="eastAsia"/>
          <w:b/>
        </w:rPr>
        <w:t>8</w:t>
      </w:r>
      <w:r w:rsidRPr="0035189F">
        <w:rPr>
          <w:b/>
        </w:rPr>
        <w:t xml:space="preserve"> </w:t>
      </w:r>
      <w:r w:rsidRPr="0035189F">
        <w:rPr>
          <w:rFonts w:hint="eastAsia"/>
          <w:b/>
        </w:rPr>
        <w:t>澳大利亚</w:t>
      </w:r>
      <w:r w:rsidR="00597684" w:rsidRPr="0035189F">
        <w:rPr>
          <w:rFonts w:hint="eastAsia"/>
          <w:b/>
        </w:rPr>
        <w:t>自愿型</w:t>
      </w:r>
      <w:r w:rsidRPr="0035189F">
        <w:rPr>
          <w:rFonts w:hint="eastAsia"/>
          <w:b/>
        </w:rPr>
        <w:t>超级年金</w:t>
      </w:r>
      <w:r w:rsidR="000D140E" w:rsidRPr="0035189F">
        <w:rPr>
          <w:rFonts w:hint="eastAsia"/>
          <w:b/>
        </w:rPr>
        <w:t>基金</w:t>
      </w:r>
      <w:r w:rsidR="00597684" w:rsidRPr="0035189F">
        <w:rPr>
          <w:rFonts w:hint="eastAsia"/>
          <w:b/>
        </w:rPr>
        <w:t>投资</w:t>
      </w:r>
      <w:r w:rsidR="000D140E" w:rsidRPr="0035189F">
        <w:rPr>
          <w:rFonts w:hint="eastAsia"/>
          <w:b/>
        </w:rPr>
        <w:t>情况对比</w:t>
      </w:r>
    </w:p>
    <w:p w:rsidR="005B5276" w:rsidRPr="005B5276" w:rsidRDefault="005B5276" w:rsidP="005B5276">
      <w:pPr>
        <w:jc w:val="right"/>
      </w:pPr>
      <w:r>
        <w:rPr>
          <w:rFonts w:hint="eastAsia"/>
        </w:rPr>
        <w:t>单位：</w:t>
      </w:r>
      <w:r>
        <w:rPr>
          <w:rFonts w:hint="eastAsia"/>
        </w:rPr>
        <w:t>%</w:t>
      </w:r>
    </w:p>
    <w:tbl>
      <w:tblPr>
        <w:tblStyle w:val="31"/>
        <w:tblW w:w="5000" w:type="pct"/>
        <w:jc w:val="center"/>
        <w:tblLook w:val="04A0"/>
      </w:tblPr>
      <w:tblGrid>
        <w:gridCol w:w="1764"/>
        <w:gridCol w:w="1362"/>
        <w:gridCol w:w="2018"/>
        <w:gridCol w:w="2018"/>
        <w:gridCol w:w="1360"/>
      </w:tblGrid>
      <w:tr w:rsidR="005B5276" w:rsidRPr="00522B6D" w:rsidTr="005B5276">
        <w:trPr>
          <w:cnfStyle w:val="100000000000"/>
          <w:trHeight w:val="270"/>
          <w:jc w:val="center"/>
        </w:trPr>
        <w:tc>
          <w:tcPr>
            <w:cnfStyle w:val="001000000100"/>
            <w:tcW w:w="1834" w:type="pct"/>
            <w:gridSpan w:val="2"/>
            <w:tcBorders>
              <w:top w:val="single" w:sz="4" w:space="0" w:color="7F7F7F" w:themeColor="text1" w:themeTint="80"/>
              <w:right w:val="single" w:sz="4" w:space="0" w:color="7F7F7F" w:themeColor="text1" w:themeTint="80"/>
            </w:tcBorders>
            <w:shd w:val="clear" w:color="auto" w:fill="auto"/>
            <w:noWrap/>
            <w:hideMark/>
          </w:tcPr>
          <w:p w:rsidR="005B5276" w:rsidRPr="00A07C21" w:rsidRDefault="005B5276" w:rsidP="005B5276">
            <w:pPr>
              <w:widowControl/>
              <w:jc w:val="center"/>
              <w:rPr>
                <w:rFonts w:ascii="Times New Roman" w:eastAsia="Times New Roman" w:hAnsi="Times New Roman" w:cs="Times New Roman"/>
                <w:kern w:val="0"/>
                <w:sz w:val="20"/>
                <w:szCs w:val="20"/>
              </w:rPr>
            </w:pPr>
            <w:r w:rsidRPr="005B5276">
              <w:rPr>
                <w:rFonts w:ascii="宋体" w:eastAsia="宋体" w:hAnsi="宋体" w:cs="宋体" w:hint="eastAsia"/>
                <w:color w:val="000000"/>
                <w:kern w:val="0"/>
                <w:sz w:val="20"/>
                <w:szCs w:val="20"/>
              </w:rPr>
              <w:t>类型</w:t>
            </w:r>
          </w:p>
        </w:tc>
        <w:tc>
          <w:tcPr>
            <w:tcW w:w="1184" w:type="pc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noWrap/>
            <w:hideMark/>
          </w:tcPr>
          <w:p w:rsidR="005B5276" w:rsidRPr="00522B6D" w:rsidRDefault="005B5276" w:rsidP="003526C2">
            <w:pPr>
              <w:widowControl/>
              <w:jc w:val="center"/>
              <w:cnfStyle w:val="100000000000"/>
              <w:rPr>
                <w:rFonts w:ascii="宋体" w:eastAsia="宋体" w:hAnsi="宋体" w:cs="宋体"/>
                <w:color w:val="000000"/>
                <w:kern w:val="0"/>
                <w:sz w:val="20"/>
                <w:szCs w:val="20"/>
              </w:rPr>
            </w:pPr>
            <w:r>
              <w:rPr>
                <w:rFonts w:ascii="宋体" w:eastAsia="宋体" w:hAnsi="宋体" w:cs="宋体" w:hint="eastAsia"/>
                <w:color w:val="000000"/>
                <w:kern w:val="0"/>
                <w:sz w:val="20"/>
                <w:szCs w:val="20"/>
              </w:rPr>
              <w:t>自愿缴费</w:t>
            </w:r>
            <w:r w:rsidRPr="00522B6D">
              <w:rPr>
                <w:rFonts w:ascii="宋体" w:eastAsia="宋体" w:hAnsi="宋体" w:cs="宋体" w:hint="eastAsia"/>
                <w:color w:val="000000"/>
                <w:kern w:val="0"/>
                <w:sz w:val="20"/>
                <w:szCs w:val="20"/>
              </w:rPr>
              <w:t>较多</w:t>
            </w:r>
          </w:p>
        </w:tc>
        <w:tc>
          <w:tcPr>
            <w:tcW w:w="1184" w:type="pc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noWrap/>
            <w:hideMark/>
          </w:tcPr>
          <w:p w:rsidR="005B5276" w:rsidRPr="00522B6D" w:rsidRDefault="005B5276" w:rsidP="003526C2">
            <w:pPr>
              <w:widowControl/>
              <w:jc w:val="center"/>
              <w:cnfStyle w:val="100000000000"/>
              <w:rPr>
                <w:rFonts w:ascii="宋体" w:eastAsia="宋体" w:hAnsi="宋体" w:cs="宋体"/>
                <w:color w:val="000000"/>
                <w:kern w:val="0"/>
                <w:sz w:val="20"/>
                <w:szCs w:val="20"/>
              </w:rPr>
            </w:pPr>
            <w:r>
              <w:rPr>
                <w:rFonts w:ascii="宋体" w:eastAsia="宋体" w:hAnsi="宋体" w:cs="宋体" w:hint="eastAsia"/>
                <w:color w:val="000000"/>
                <w:kern w:val="0"/>
                <w:sz w:val="20"/>
                <w:szCs w:val="20"/>
              </w:rPr>
              <w:t>自愿型缴费</w:t>
            </w:r>
            <w:r w:rsidRPr="00522B6D">
              <w:rPr>
                <w:rFonts w:ascii="宋体" w:eastAsia="宋体" w:hAnsi="宋体" w:cs="宋体" w:hint="eastAsia"/>
                <w:color w:val="000000"/>
                <w:kern w:val="0"/>
                <w:sz w:val="20"/>
                <w:szCs w:val="20"/>
              </w:rPr>
              <w:t>较少</w:t>
            </w:r>
          </w:p>
        </w:tc>
        <w:tc>
          <w:tcPr>
            <w:tcW w:w="798" w:type="pct"/>
            <w:tcBorders>
              <w:top w:val="single" w:sz="4" w:space="0" w:color="7F7F7F" w:themeColor="text1" w:themeTint="80"/>
              <w:left w:val="single" w:sz="4" w:space="0" w:color="7F7F7F" w:themeColor="text1" w:themeTint="80"/>
            </w:tcBorders>
            <w:shd w:val="clear" w:color="auto" w:fill="auto"/>
            <w:noWrap/>
            <w:hideMark/>
          </w:tcPr>
          <w:p w:rsidR="005B5276" w:rsidRPr="00522B6D" w:rsidRDefault="005B5276" w:rsidP="003526C2">
            <w:pPr>
              <w:widowControl/>
              <w:jc w:val="center"/>
              <w:cnfStyle w:val="100000000000"/>
              <w:rPr>
                <w:rFonts w:ascii="宋体" w:eastAsia="宋体" w:hAnsi="宋体" w:cs="宋体"/>
                <w:color w:val="000000"/>
                <w:kern w:val="0"/>
                <w:sz w:val="20"/>
                <w:szCs w:val="20"/>
              </w:rPr>
            </w:pPr>
            <w:r>
              <w:rPr>
                <w:rFonts w:ascii="宋体" w:eastAsia="宋体" w:hAnsi="宋体" w:cs="宋体" w:hint="eastAsia"/>
                <w:color w:val="000000"/>
                <w:kern w:val="0"/>
                <w:sz w:val="20"/>
                <w:szCs w:val="20"/>
              </w:rPr>
              <w:t>加权平均</w:t>
            </w:r>
          </w:p>
        </w:tc>
      </w:tr>
      <w:tr w:rsidR="00D25A6A" w:rsidRPr="00522B6D" w:rsidTr="005B5276">
        <w:trPr>
          <w:cnfStyle w:val="000000100000"/>
          <w:trHeight w:val="300"/>
          <w:jc w:val="center"/>
        </w:trPr>
        <w:tc>
          <w:tcPr>
            <w:cnfStyle w:val="001000000000"/>
            <w:tcW w:w="1035" w:type="pct"/>
            <w:tcBorders>
              <w:top w:val="single" w:sz="4" w:space="0" w:color="7F7F7F" w:themeColor="text1" w:themeTint="80"/>
              <w:right w:val="none" w:sz="0" w:space="0" w:color="auto"/>
            </w:tcBorders>
            <w:shd w:val="clear" w:color="auto" w:fill="auto"/>
            <w:hideMark/>
          </w:tcPr>
          <w:p w:rsidR="00D25A6A" w:rsidRPr="00522B6D" w:rsidRDefault="00D25A6A" w:rsidP="00D25A6A">
            <w:pPr>
              <w:widowControl/>
              <w:jc w:val="center"/>
              <w:rPr>
                <w:rFonts w:ascii="宋体" w:eastAsia="宋体" w:hAnsi="宋体" w:cs="宋体"/>
                <w:kern w:val="0"/>
                <w:sz w:val="20"/>
                <w:szCs w:val="20"/>
              </w:rPr>
            </w:pPr>
            <w:r w:rsidRPr="00522B6D">
              <w:rPr>
                <w:rFonts w:ascii="宋体" w:eastAsia="宋体" w:hAnsi="宋体" w:cs="宋体" w:hint="eastAsia"/>
                <w:kern w:val="0"/>
                <w:sz w:val="20"/>
                <w:szCs w:val="20"/>
              </w:rPr>
              <w:t>现金</w:t>
            </w:r>
          </w:p>
        </w:tc>
        <w:tc>
          <w:tcPr>
            <w:tcW w:w="799" w:type="pct"/>
            <w:tcBorders>
              <w:top w:val="single" w:sz="4" w:space="0" w:color="7F7F7F" w:themeColor="text1" w:themeTint="80"/>
              <w:right w:val="single" w:sz="4" w:space="0" w:color="7F7F7F" w:themeColor="text1" w:themeTint="80"/>
            </w:tcBorders>
            <w:shd w:val="clear" w:color="auto" w:fill="auto"/>
            <w:hideMark/>
          </w:tcPr>
          <w:p w:rsidR="00D25A6A" w:rsidRPr="00522B6D" w:rsidRDefault="00D25A6A" w:rsidP="00D25A6A">
            <w:pPr>
              <w:widowControl/>
              <w:jc w:val="center"/>
              <w:cnfStyle w:val="000000100000"/>
              <w:rPr>
                <w:rFonts w:ascii="宋体" w:eastAsia="宋体" w:hAnsi="宋体" w:cs="宋体"/>
                <w:kern w:val="0"/>
                <w:sz w:val="20"/>
                <w:szCs w:val="20"/>
              </w:rPr>
            </w:pPr>
          </w:p>
        </w:tc>
        <w:tc>
          <w:tcPr>
            <w:tcW w:w="1184" w:type="pc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hideMark/>
          </w:tcPr>
          <w:p w:rsidR="00D25A6A" w:rsidRPr="00522B6D" w:rsidRDefault="00D25A6A" w:rsidP="005B5276">
            <w:pPr>
              <w:widowControl/>
              <w:ind w:firstLineChars="100" w:firstLine="180"/>
              <w:jc w:val="center"/>
              <w:cnfStyle w:val="000000100000"/>
              <w:rPr>
                <w:rFonts w:ascii="Trebuchet MS" w:eastAsia="宋体" w:hAnsi="Trebuchet MS" w:cs="宋体"/>
                <w:kern w:val="0"/>
                <w:sz w:val="18"/>
                <w:szCs w:val="18"/>
              </w:rPr>
            </w:pPr>
            <w:r w:rsidRPr="00522B6D">
              <w:rPr>
                <w:rFonts w:ascii="Trebuchet MS" w:eastAsia="宋体" w:hAnsi="Trebuchet MS" w:cs="宋体"/>
                <w:kern w:val="0"/>
                <w:sz w:val="18"/>
                <w:szCs w:val="18"/>
              </w:rPr>
              <w:t>15</w:t>
            </w:r>
          </w:p>
        </w:tc>
        <w:tc>
          <w:tcPr>
            <w:tcW w:w="1184" w:type="pc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11</w:t>
            </w:r>
          </w:p>
        </w:tc>
        <w:tc>
          <w:tcPr>
            <w:tcW w:w="798" w:type="pct"/>
            <w:tcBorders>
              <w:top w:val="single" w:sz="4" w:space="0" w:color="7F7F7F" w:themeColor="text1" w:themeTint="80"/>
              <w:lef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12</w:t>
            </w:r>
          </w:p>
        </w:tc>
      </w:tr>
      <w:tr w:rsidR="00D25A6A" w:rsidRPr="00522B6D" w:rsidTr="005B5276">
        <w:trPr>
          <w:trHeight w:val="300"/>
          <w:jc w:val="center"/>
        </w:trPr>
        <w:tc>
          <w:tcPr>
            <w:cnfStyle w:val="001000000000"/>
            <w:tcW w:w="1035" w:type="pct"/>
            <w:tcBorders>
              <w:right w:val="none" w:sz="0" w:space="0" w:color="auto"/>
            </w:tcBorders>
            <w:shd w:val="clear" w:color="auto" w:fill="auto"/>
            <w:hideMark/>
          </w:tcPr>
          <w:p w:rsidR="00D25A6A" w:rsidRPr="00522B6D" w:rsidRDefault="00D25A6A" w:rsidP="00D25A6A">
            <w:pPr>
              <w:widowControl/>
              <w:jc w:val="center"/>
              <w:rPr>
                <w:rFonts w:ascii="宋体" w:eastAsia="宋体" w:hAnsi="宋体" w:cs="宋体"/>
                <w:kern w:val="0"/>
                <w:sz w:val="20"/>
                <w:szCs w:val="20"/>
              </w:rPr>
            </w:pPr>
            <w:r w:rsidRPr="00522B6D">
              <w:rPr>
                <w:rFonts w:ascii="宋体" w:eastAsia="宋体" w:hAnsi="宋体" w:cs="宋体" w:hint="eastAsia"/>
                <w:kern w:val="0"/>
                <w:sz w:val="20"/>
                <w:szCs w:val="20"/>
              </w:rPr>
              <w:t>债券</w:t>
            </w:r>
          </w:p>
        </w:tc>
        <w:tc>
          <w:tcPr>
            <w:tcW w:w="799" w:type="pct"/>
            <w:tcBorders>
              <w:right w:val="single" w:sz="4" w:space="0" w:color="7F7F7F" w:themeColor="text1" w:themeTint="80"/>
            </w:tcBorders>
            <w:shd w:val="clear" w:color="auto" w:fill="auto"/>
            <w:hideMark/>
          </w:tcPr>
          <w:p w:rsidR="00D25A6A" w:rsidRPr="00522B6D" w:rsidRDefault="00D25A6A" w:rsidP="00D25A6A">
            <w:pPr>
              <w:widowControl/>
              <w:jc w:val="center"/>
              <w:cnfStyle w:val="000000000000"/>
              <w:rPr>
                <w:rFonts w:ascii="宋体" w:eastAsia="宋体" w:hAnsi="宋体" w:cs="宋体"/>
                <w:kern w:val="0"/>
                <w:sz w:val="20"/>
                <w:szCs w:val="20"/>
              </w:rPr>
            </w:pP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22</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20</w:t>
            </w:r>
          </w:p>
        </w:tc>
        <w:tc>
          <w:tcPr>
            <w:tcW w:w="798" w:type="pct"/>
            <w:tcBorders>
              <w:lef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21</w:t>
            </w:r>
          </w:p>
        </w:tc>
      </w:tr>
      <w:tr w:rsidR="00D25A6A" w:rsidRPr="00522B6D" w:rsidTr="005B5276">
        <w:trPr>
          <w:cnfStyle w:val="000000100000"/>
          <w:trHeight w:val="300"/>
          <w:jc w:val="center"/>
        </w:trPr>
        <w:tc>
          <w:tcPr>
            <w:cnfStyle w:val="001000000000"/>
            <w:tcW w:w="1035" w:type="pct"/>
            <w:tcBorders>
              <w:right w:val="none" w:sz="0" w:space="0" w:color="auto"/>
            </w:tcBorders>
            <w:shd w:val="clear" w:color="auto" w:fill="auto"/>
            <w:hideMark/>
          </w:tcPr>
          <w:p w:rsidR="00D25A6A" w:rsidRPr="00522B6D" w:rsidRDefault="00D25A6A" w:rsidP="00D25A6A">
            <w:pPr>
              <w:widowControl/>
              <w:jc w:val="center"/>
              <w:rPr>
                <w:rFonts w:ascii="宋体" w:eastAsia="宋体" w:hAnsi="宋体" w:cs="宋体"/>
                <w:kern w:val="0"/>
                <w:sz w:val="20"/>
                <w:szCs w:val="20"/>
              </w:rPr>
            </w:pPr>
            <w:r>
              <w:rPr>
                <w:rFonts w:ascii="宋体" w:eastAsia="宋体" w:hAnsi="宋体" w:cs="宋体" w:hint="eastAsia"/>
                <w:kern w:val="0"/>
                <w:sz w:val="20"/>
                <w:szCs w:val="20"/>
              </w:rPr>
              <w:t>权益类</w:t>
            </w:r>
          </w:p>
        </w:tc>
        <w:tc>
          <w:tcPr>
            <w:tcW w:w="799" w:type="pct"/>
            <w:tcBorders>
              <w:right w:val="single" w:sz="4" w:space="0" w:color="7F7F7F" w:themeColor="text1" w:themeTint="80"/>
            </w:tcBorders>
            <w:shd w:val="clear" w:color="auto" w:fill="auto"/>
            <w:noWrap/>
            <w:hideMark/>
          </w:tcPr>
          <w:p w:rsidR="00D25A6A" w:rsidRPr="00522B6D" w:rsidRDefault="00D25A6A" w:rsidP="00D25A6A">
            <w:pPr>
              <w:widowControl/>
              <w:jc w:val="center"/>
              <w:cnfStyle w:val="000000100000"/>
              <w:rPr>
                <w:rFonts w:ascii="宋体" w:eastAsia="宋体" w:hAnsi="宋体" w:cs="宋体"/>
                <w:kern w:val="0"/>
                <w:sz w:val="20"/>
                <w:szCs w:val="20"/>
              </w:rPr>
            </w:pP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63</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69</w:t>
            </w:r>
          </w:p>
        </w:tc>
        <w:tc>
          <w:tcPr>
            <w:tcW w:w="798" w:type="pct"/>
            <w:tcBorders>
              <w:lef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66</w:t>
            </w:r>
          </w:p>
        </w:tc>
      </w:tr>
      <w:tr w:rsidR="00D25A6A" w:rsidRPr="00522B6D" w:rsidTr="005B5276">
        <w:trPr>
          <w:trHeight w:val="300"/>
          <w:jc w:val="center"/>
        </w:trPr>
        <w:tc>
          <w:tcPr>
            <w:cnfStyle w:val="001000000000"/>
            <w:tcW w:w="1035" w:type="pct"/>
            <w:tcBorders>
              <w:right w:val="none" w:sz="0" w:space="0" w:color="auto"/>
            </w:tcBorders>
            <w:shd w:val="clear" w:color="auto" w:fill="auto"/>
            <w:hideMark/>
          </w:tcPr>
          <w:p w:rsidR="00D25A6A" w:rsidRPr="00522B6D" w:rsidRDefault="00D25A6A" w:rsidP="00D25A6A">
            <w:pPr>
              <w:widowControl/>
              <w:jc w:val="center"/>
              <w:rPr>
                <w:rFonts w:ascii="宋体" w:eastAsia="宋体" w:hAnsi="宋体" w:cs="宋体"/>
                <w:kern w:val="0"/>
                <w:sz w:val="20"/>
                <w:szCs w:val="20"/>
              </w:rPr>
            </w:pPr>
            <w:r w:rsidRPr="00522B6D">
              <w:rPr>
                <w:rFonts w:ascii="宋体" w:eastAsia="宋体" w:hAnsi="宋体" w:cs="宋体" w:hint="eastAsia"/>
                <w:kern w:val="0"/>
                <w:sz w:val="20"/>
                <w:szCs w:val="20"/>
              </w:rPr>
              <w:t>其中</w:t>
            </w:r>
          </w:p>
        </w:tc>
        <w:tc>
          <w:tcPr>
            <w:tcW w:w="799" w:type="pct"/>
            <w:tcBorders>
              <w:right w:val="single" w:sz="4" w:space="0" w:color="7F7F7F" w:themeColor="text1" w:themeTint="80"/>
            </w:tcBorders>
            <w:shd w:val="clear" w:color="auto" w:fill="auto"/>
            <w:hideMark/>
          </w:tcPr>
          <w:p w:rsidR="00D25A6A" w:rsidRPr="00522B6D" w:rsidRDefault="00D25A6A" w:rsidP="00D25A6A">
            <w:pPr>
              <w:widowControl/>
              <w:jc w:val="center"/>
              <w:cnfStyle w:val="000000000000"/>
              <w:rPr>
                <w:rFonts w:ascii="宋体" w:eastAsia="宋体" w:hAnsi="宋体" w:cs="宋体"/>
                <w:kern w:val="0"/>
                <w:sz w:val="20"/>
                <w:szCs w:val="20"/>
              </w:rPr>
            </w:pPr>
            <w:r w:rsidRPr="00522B6D">
              <w:rPr>
                <w:rFonts w:ascii="宋体" w:eastAsia="宋体" w:hAnsi="宋体" w:cs="宋体" w:hint="eastAsia"/>
                <w:kern w:val="0"/>
                <w:sz w:val="20"/>
                <w:szCs w:val="20"/>
              </w:rPr>
              <w:t>股票</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47</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52</w:t>
            </w:r>
          </w:p>
        </w:tc>
        <w:tc>
          <w:tcPr>
            <w:tcW w:w="798" w:type="pct"/>
            <w:tcBorders>
              <w:lef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50</w:t>
            </w:r>
          </w:p>
        </w:tc>
      </w:tr>
      <w:tr w:rsidR="00D25A6A" w:rsidRPr="00522B6D" w:rsidTr="005B5276">
        <w:trPr>
          <w:cnfStyle w:val="000000100000"/>
          <w:trHeight w:val="300"/>
          <w:jc w:val="center"/>
        </w:trPr>
        <w:tc>
          <w:tcPr>
            <w:cnfStyle w:val="001000000000"/>
            <w:tcW w:w="1035" w:type="pct"/>
            <w:tcBorders>
              <w:right w:val="none" w:sz="0" w:space="0" w:color="auto"/>
            </w:tcBorders>
            <w:shd w:val="clear" w:color="auto" w:fill="auto"/>
            <w:hideMark/>
          </w:tcPr>
          <w:p w:rsidR="00D25A6A" w:rsidRPr="00522B6D" w:rsidRDefault="00D25A6A" w:rsidP="00D25A6A">
            <w:pPr>
              <w:widowControl/>
              <w:ind w:firstLineChars="100" w:firstLine="181"/>
              <w:jc w:val="right"/>
              <w:rPr>
                <w:rFonts w:ascii="Trebuchet MS" w:eastAsia="宋体" w:hAnsi="Trebuchet MS" w:cs="宋体"/>
                <w:kern w:val="0"/>
                <w:sz w:val="18"/>
                <w:szCs w:val="18"/>
              </w:rPr>
            </w:pPr>
          </w:p>
        </w:tc>
        <w:tc>
          <w:tcPr>
            <w:tcW w:w="799" w:type="pct"/>
            <w:tcBorders>
              <w:right w:val="single" w:sz="4" w:space="0" w:color="7F7F7F" w:themeColor="text1" w:themeTint="80"/>
            </w:tcBorders>
            <w:shd w:val="clear" w:color="auto" w:fill="auto"/>
            <w:hideMark/>
          </w:tcPr>
          <w:p w:rsidR="00D25A6A" w:rsidRPr="00522B6D" w:rsidRDefault="00D25A6A" w:rsidP="00D25A6A">
            <w:pPr>
              <w:widowControl/>
              <w:jc w:val="center"/>
              <w:cnfStyle w:val="000000100000"/>
              <w:rPr>
                <w:rFonts w:ascii="宋体" w:eastAsia="宋体" w:hAnsi="宋体" w:cs="宋体"/>
                <w:kern w:val="0"/>
                <w:sz w:val="20"/>
                <w:szCs w:val="20"/>
              </w:rPr>
            </w:pPr>
            <w:r w:rsidRPr="00522B6D">
              <w:rPr>
                <w:rFonts w:ascii="宋体" w:eastAsia="宋体" w:hAnsi="宋体" w:cs="宋体" w:hint="eastAsia"/>
                <w:kern w:val="0"/>
                <w:sz w:val="20"/>
                <w:szCs w:val="20"/>
              </w:rPr>
              <w:t>房地产</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7</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9</w:t>
            </w:r>
          </w:p>
        </w:tc>
        <w:tc>
          <w:tcPr>
            <w:tcW w:w="798" w:type="pct"/>
            <w:tcBorders>
              <w:lef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8</w:t>
            </w:r>
          </w:p>
        </w:tc>
      </w:tr>
      <w:tr w:rsidR="00D25A6A" w:rsidRPr="00522B6D" w:rsidTr="005B5276">
        <w:trPr>
          <w:trHeight w:val="300"/>
          <w:jc w:val="center"/>
        </w:trPr>
        <w:tc>
          <w:tcPr>
            <w:cnfStyle w:val="001000000000"/>
            <w:tcW w:w="1035" w:type="pct"/>
            <w:tcBorders>
              <w:right w:val="none" w:sz="0" w:space="0" w:color="auto"/>
            </w:tcBorders>
            <w:shd w:val="clear" w:color="auto" w:fill="auto"/>
            <w:hideMark/>
          </w:tcPr>
          <w:p w:rsidR="00D25A6A" w:rsidRPr="00522B6D" w:rsidRDefault="00D25A6A" w:rsidP="00D25A6A">
            <w:pPr>
              <w:widowControl/>
              <w:ind w:firstLineChars="100" w:firstLine="181"/>
              <w:jc w:val="right"/>
              <w:rPr>
                <w:rFonts w:ascii="Trebuchet MS" w:eastAsia="宋体" w:hAnsi="Trebuchet MS" w:cs="宋体"/>
                <w:kern w:val="0"/>
                <w:sz w:val="18"/>
                <w:szCs w:val="18"/>
              </w:rPr>
            </w:pPr>
          </w:p>
        </w:tc>
        <w:tc>
          <w:tcPr>
            <w:tcW w:w="799" w:type="pct"/>
            <w:tcBorders>
              <w:right w:val="single" w:sz="4" w:space="0" w:color="7F7F7F" w:themeColor="text1" w:themeTint="80"/>
            </w:tcBorders>
            <w:shd w:val="clear" w:color="auto" w:fill="auto"/>
            <w:hideMark/>
          </w:tcPr>
          <w:p w:rsidR="00D25A6A" w:rsidRPr="00522B6D" w:rsidRDefault="00D25A6A" w:rsidP="00D25A6A">
            <w:pPr>
              <w:widowControl/>
              <w:jc w:val="center"/>
              <w:cnfStyle w:val="000000000000"/>
              <w:rPr>
                <w:rFonts w:ascii="宋体" w:eastAsia="宋体" w:hAnsi="宋体" w:cs="宋体"/>
                <w:kern w:val="0"/>
                <w:sz w:val="20"/>
                <w:szCs w:val="20"/>
              </w:rPr>
            </w:pPr>
            <w:r w:rsidRPr="00522B6D">
              <w:rPr>
                <w:rFonts w:ascii="宋体" w:eastAsia="宋体" w:hAnsi="宋体" w:cs="宋体" w:hint="eastAsia"/>
                <w:kern w:val="0"/>
                <w:sz w:val="20"/>
                <w:szCs w:val="20"/>
              </w:rPr>
              <w:t>基础设施</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5</w:t>
            </w:r>
          </w:p>
        </w:tc>
        <w:tc>
          <w:tcPr>
            <w:tcW w:w="1184" w:type="pct"/>
            <w:tcBorders>
              <w:left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6</w:t>
            </w:r>
          </w:p>
        </w:tc>
        <w:tc>
          <w:tcPr>
            <w:tcW w:w="798" w:type="pct"/>
            <w:tcBorders>
              <w:lef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000000"/>
              <w:rPr>
                <w:rFonts w:ascii="Trebuchet MS" w:eastAsia="宋体" w:hAnsi="Trebuchet MS" w:cs="宋体"/>
                <w:kern w:val="0"/>
                <w:sz w:val="18"/>
                <w:szCs w:val="18"/>
              </w:rPr>
            </w:pPr>
            <w:r>
              <w:rPr>
                <w:rFonts w:ascii="Trebuchet MS" w:eastAsia="宋体" w:hAnsi="Trebuchet MS" w:cs="宋体"/>
                <w:kern w:val="0"/>
                <w:sz w:val="18"/>
                <w:szCs w:val="18"/>
              </w:rPr>
              <w:t>5</w:t>
            </w:r>
          </w:p>
        </w:tc>
      </w:tr>
      <w:tr w:rsidR="00D25A6A" w:rsidRPr="00522B6D" w:rsidTr="005B5276">
        <w:trPr>
          <w:cnfStyle w:val="000000100000"/>
          <w:trHeight w:val="300"/>
          <w:jc w:val="center"/>
        </w:trPr>
        <w:tc>
          <w:tcPr>
            <w:cnfStyle w:val="001000000000"/>
            <w:tcW w:w="1035" w:type="pct"/>
            <w:tcBorders>
              <w:bottom w:val="single" w:sz="4" w:space="0" w:color="7F7F7F" w:themeColor="text1" w:themeTint="80"/>
              <w:right w:val="none" w:sz="0" w:space="0" w:color="auto"/>
            </w:tcBorders>
            <w:shd w:val="clear" w:color="auto" w:fill="auto"/>
            <w:hideMark/>
          </w:tcPr>
          <w:p w:rsidR="00D25A6A" w:rsidRPr="00522B6D" w:rsidRDefault="00D25A6A" w:rsidP="00D25A6A">
            <w:pPr>
              <w:widowControl/>
              <w:ind w:firstLineChars="100" w:firstLine="181"/>
              <w:jc w:val="right"/>
              <w:rPr>
                <w:rFonts w:ascii="Trebuchet MS" w:eastAsia="宋体" w:hAnsi="Trebuchet MS" w:cs="宋体"/>
                <w:kern w:val="0"/>
                <w:sz w:val="18"/>
                <w:szCs w:val="18"/>
              </w:rPr>
            </w:pPr>
          </w:p>
        </w:tc>
        <w:tc>
          <w:tcPr>
            <w:tcW w:w="799" w:type="pct"/>
            <w:tcBorders>
              <w:bottom w:val="single" w:sz="4" w:space="0" w:color="7F7F7F" w:themeColor="text1" w:themeTint="80"/>
              <w:right w:val="single" w:sz="4" w:space="0" w:color="7F7F7F" w:themeColor="text1" w:themeTint="80"/>
            </w:tcBorders>
            <w:shd w:val="clear" w:color="auto" w:fill="auto"/>
            <w:hideMark/>
          </w:tcPr>
          <w:p w:rsidR="00D25A6A" w:rsidRPr="00522B6D" w:rsidRDefault="00D25A6A" w:rsidP="00D25A6A">
            <w:pPr>
              <w:widowControl/>
              <w:jc w:val="center"/>
              <w:cnfStyle w:val="000000100000"/>
              <w:rPr>
                <w:rFonts w:ascii="宋体" w:eastAsia="宋体" w:hAnsi="宋体" w:cs="宋体"/>
                <w:kern w:val="0"/>
                <w:sz w:val="20"/>
                <w:szCs w:val="20"/>
              </w:rPr>
            </w:pPr>
            <w:r w:rsidRPr="00522B6D">
              <w:rPr>
                <w:rFonts w:ascii="宋体" w:eastAsia="宋体" w:hAnsi="宋体" w:cs="宋体" w:hint="eastAsia"/>
                <w:kern w:val="0"/>
                <w:sz w:val="20"/>
                <w:szCs w:val="20"/>
              </w:rPr>
              <w:t>其他</w:t>
            </w:r>
          </w:p>
        </w:tc>
        <w:tc>
          <w:tcPr>
            <w:tcW w:w="1184"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3</w:t>
            </w:r>
          </w:p>
        </w:tc>
        <w:tc>
          <w:tcPr>
            <w:tcW w:w="1184"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3</w:t>
            </w:r>
          </w:p>
        </w:tc>
        <w:tc>
          <w:tcPr>
            <w:tcW w:w="798" w:type="pct"/>
            <w:tcBorders>
              <w:left w:val="single" w:sz="4" w:space="0" w:color="7F7F7F" w:themeColor="text1" w:themeTint="80"/>
              <w:bottom w:val="single" w:sz="4" w:space="0" w:color="7F7F7F" w:themeColor="text1" w:themeTint="80"/>
            </w:tcBorders>
            <w:shd w:val="clear" w:color="auto" w:fill="auto"/>
            <w:hideMark/>
          </w:tcPr>
          <w:p w:rsidR="00D25A6A" w:rsidRPr="00522B6D" w:rsidRDefault="005B5276" w:rsidP="005B5276">
            <w:pPr>
              <w:widowControl/>
              <w:ind w:firstLineChars="100" w:firstLine="180"/>
              <w:jc w:val="center"/>
              <w:cnfStyle w:val="000000100000"/>
              <w:rPr>
                <w:rFonts w:ascii="Trebuchet MS" w:eastAsia="宋体" w:hAnsi="Trebuchet MS" w:cs="宋体"/>
                <w:kern w:val="0"/>
                <w:sz w:val="18"/>
                <w:szCs w:val="18"/>
              </w:rPr>
            </w:pPr>
            <w:r>
              <w:rPr>
                <w:rFonts w:ascii="Trebuchet MS" w:eastAsia="宋体" w:hAnsi="Trebuchet MS" w:cs="宋体"/>
                <w:kern w:val="0"/>
                <w:sz w:val="18"/>
                <w:szCs w:val="18"/>
              </w:rPr>
              <w:t>3</w:t>
            </w:r>
          </w:p>
        </w:tc>
      </w:tr>
    </w:tbl>
    <w:p w:rsidR="00D25A6A" w:rsidRPr="00E2585E" w:rsidRDefault="005B5276" w:rsidP="00D25A6A">
      <w:pPr>
        <w:rPr>
          <w:sz w:val="18"/>
          <w:szCs w:val="18"/>
        </w:rPr>
      </w:pPr>
      <w:r>
        <w:rPr>
          <w:rFonts w:hint="eastAsia"/>
          <w:sz w:val="18"/>
          <w:szCs w:val="18"/>
        </w:rPr>
        <w:t>资料</w:t>
      </w:r>
      <w:r w:rsidR="00D25A6A" w:rsidRPr="00E2585E">
        <w:rPr>
          <w:sz w:val="18"/>
          <w:szCs w:val="18"/>
        </w:rPr>
        <w:t>来源：</w:t>
      </w:r>
      <w:r w:rsidR="00D25A6A" w:rsidRPr="00E2585E">
        <w:rPr>
          <w:rFonts w:hint="eastAsia"/>
          <w:sz w:val="18"/>
          <w:szCs w:val="18"/>
        </w:rPr>
        <w:t>APRA</w:t>
      </w:r>
      <w:r w:rsidR="00D25A6A" w:rsidRPr="00E2585E">
        <w:rPr>
          <w:sz w:val="18"/>
          <w:szCs w:val="18"/>
        </w:rPr>
        <w:t xml:space="preserve"> Annual Fund-level Superannuation Statistics June 2017</w:t>
      </w:r>
    </w:p>
    <w:p w:rsidR="00D25A6A" w:rsidRDefault="00D25A6A" w:rsidP="00D25A6A"/>
    <w:p w:rsidR="00D25A6A" w:rsidRPr="006C4ED4" w:rsidRDefault="005B5276" w:rsidP="006C4ED4">
      <w:pPr>
        <w:pStyle w:val="2"/>
        <w:rPr>
          <w:sz w:val="28"/>
          <w:szCs w:val="28"/>
        </w:rPr>
      </w:pPr>
      <w:r>
        <w:rPr>
          <w:rStyle w:val="2Char"/>
          <w:rFonts w:hint="eastAsia"/>
          <w:sz w:val="28"/>
          <w:szCs w:val="28"/>
        </w:rPr>
        <w:t>（二）</w:t>
      </w:r>
      <w:r w:rsidR="00D25A6A" w:rsidRPr="006C4ED4">
        <w:rPr>
          <w:sz w:val="28"/>
          <w:szCs w:val="28"/>
        </w:rPr>
        <w:t xml:space="preserve"> </w:t>
      </w:r>
      <w:r w:rsidR="00D25A6A" w:rsidRPr="006C4ED4">
        <w:rPr>
          <w:rFonts w:hint="eastAsia"/>
          <w:sz w:val="28"/>
          <w:szCs w:val="28"/>
        </w:rPr>
        <w:t>澳大利亚</w:t>
      </w:r>
      <w:r w:rsidR="006E2BF4" w:rsidRPr="006E2BF4">
        <w:rPr>
          <w:rFonts w:hint="eastAsia"/>
          <w:sz w:val="28"/>
          <w:szCs w:val="28"/>
        </w:rPr>
        <w:t>自愿型超级年金</w:t>
      </w:r>
      <w:r w:rsidR="00D523E6">
        <w:rPr>
          <w:rFonts w:hint="eastAsia"/>
          <w:sz w:val="28"/>
          <w:szCs w:val="28"/>
        </w:rPr>
        <w:t>投资收益</w:t>
      </w:r>
    </w:p>
    <w:p w:rsidR="00D25A6A" w:rsidRDefault="006E2BF4" w:rsidP="00D25A6A">
      <w:r>
        <w:rPr>
          <w:rFonts w:hint="eastAsia"/>
        </w:rPr>
        <w:t>自愿型超级</w:t>
      </w:r>
      <w:r>
        <w:t>年金</w:t>
      </w:r>
      <w:r w:rsidR="00A728BD">
        <w:t>的收益</w:t>
      </w:r>
      <w:r w:rsidR="00A728BD">
        <w:rPr>
          <w:rFonts w:hint="eastAsia"/>
        </w:rPr>
        <w:t>完全</w:t>
      </w:r>
      <w:r w:rsidR="00A728BD">
        <w:t>取决于超级年金基金的投资收益。</w:t>
      </w:r>
      <w:r w:rsidR="00A3596D">
        <w:rPr>
          <w:rFonts w:hint="eastAsia"/>
          <w:noProof/>
        </w:rPr>
        <w:t>我们选取了</w:t>
      </w:r>
      <w:r w:rsidR="00A3596D" w:rsidRPr="0076711A">
        <w:rPr>
          <w:rFonts w:hint="eastAsia"/>
          <w:noProof/>
        </w:rPr>
        <w:t>199</w:t>
      </w:r>
      <w:r w:rsidR="00A3596D" w:rsidRPr="0076711A">
        <w:rPr>
          <w:rFonts w:hint="eastAsia"/>
          <w:noProof/>
        </w:rPr>
        <w:t>只注册的超级年金基金中有</w:t>
      </w:r>
      <w:r>
        <w:rPr>
          <w:rFonts w:hint="eastAsia"/>
        </w:rPr>
        <w:t>自愿型超级</w:t>
      </w:r>
      <w:r>
        <w:t>年金</w:t>
      </w:r>
      <w:r w:rsidR="00A3596D" w:rsidRPr="0076711A">
        <w:rPr>
          <w:rFonts w:hint="eastAsia"/>
          <w:noProof/>
        </w:rPr>
        <w:t>缴费数据和投资收益数据的</w:t>
      </w:r>
      <w:r w:rsidR="00A3596D" w:rsidRPr="0076711A">
        <w:rPr>
          <w:rFonts w:hint="eastAsia"/>
          <w:noProof/>
        </w:rPr>
        <w:t>164</w:t>
      </w:r>
      <w:r w:rsidR="00A3596D" w:rsidRPr="0076711A">
        <w:rPr>
          <w:rFonts w:hint="eastAsia"/>
          <w:noProof/>
        </w:rPr>
        <w:t>只基金</w:t>
      </w:r>
      <w:r w:rsidR="00A3596D">
        <w:rPr>
          <w:rFonts w:hint="eastAsia"/>
          <w:noProof/>
        </w:rPr>
        <w:t>，并对其</w:t>
      </w:r>
      <w:r w:rsidR="00A3596D">
        <w:rPr>
          <w:rFonts w:hint="eastAsia"/>
          <w:noProof/>
        </w:rPr>
        <w:t>2</w:t>
      </w:r>
      <w:r w:rsidR="00A3596D">
        <w:rPr>
          <w:noProof/>
        </w:rPr>
        <w:t>017</w:t>
      </w:r>
      <w:r w:rsidR="00A3596D">
        <w:rPr>
          <w:noProof/>
        </w:rPr>
        <w:t>年度</w:t>
      </w:r>
      <w:r w:rsidR="00A3596D">
        <w:rPr>
          <w:rFonts w:hint="eastAsia"/>
          <w:noProof/>
        </w:rPr>
        <w:t>的收益率进行了统计分析。</w:t>
      </w:r>
      <w:r w:rsidR="00D25A6A">
        <w:rPr>
          <w:rFonts w:hint="eastAsia"/>
        </w:rPr>
        <w:t>1</w:t>
      </w:r>
      <w:r w:rsidR="00D25A6A">
        <w:t>64</w:t>
      </w:r>
      <w:r w:rsidR="008F6EB6">
        <w:rPr>
          <w:rFonts w:hint="eastAsia"/>
        </w:rPr>
        <w:t>只</w:t>
      </w:r>
      <w:r w:rsidR="00D25A6A">
        <w:t>基金中，</w:t>
      </w:r>
      <w:r w:rsidR="00D25A6A">
        <w:t>2017</w:t>
      </w:r>
      <w:r w:rsidR="00D25A6A">
        <w:rPr>
          <w:rFonts w:hint="eastAsia"/>
        </w:rPr>
        <w:t>年度</w:t>
      </w:r>
      <w:r w:rsidR="00D25A6A">
        <w:t>（</w:t>
      </w:r>
      <w:r w:rsidR="00D25A6A">
        <w:rPr>
          <w:rFonts w:hint="eastAsia"/>
        </w:rPr>
        <w:t>2016</w:t>
      </w:r>
      <w:r w:rsidR="00D25A6A">
        <w:rPr>
          <w:rFonts w:hint="eastAsia"/>
        </w:rPr>
        <w:t>年</w:t>
      </w:r>
      <w:r w:rsidR="00D25A6A">
        <w:t>7</w:t>
      </w:r>
      <w:r w:rsidR="00D25A6A">
        <w:rPr>
          <w:rFonts w:hint="eastAsia"/>
        </w:rPr>
        <w:t>月</w:t>
      </w:r>
      <w:r w:rsidR="005B5276">
        <w:rPr>
          <w:rFonts w:hint="eastAsia"/>
        </w:rPr>
        <w:t>至</w:t>
      </w:r>
      <w:r w:rsidR="00D25A6A">
        <w:t>2017</w:t>
      </w:r>
      <w:r w:rsidR="00D25A6A">
        <w:rPr>
          <w:rFonts w:hint="eastAsia"/>
        </w:rPr>
        <w:t>年</w:t>
      </w:r>
      <w:r w:rsidR="00D25A6A">
        <w:rPr>
          <w:rFonts w:hint="eastAsia"/>
        </w:rPr>
        <w:t>6</w:t>
      </w:r>
      <w:r w:rsidR="00D25A6A">
        <w:rPr>
          <w:rFonts w:hint="eastAsia"/>
        </w:rPr>
        <w:t>月</w:t>
      </w:r>
      <w:r w:rsidR="00D25A6A">
        <w:t>）</w:t>
      </w:r>
      <w:r w:rsidR="00D25A6A">
        <w:rPr>
          <w:rFonts w:hint="eastAsia"/>
        </w:rPr>
        <w:t>收益率</w:t>
      </w:r>
      <w:r w:rsidR="00D25A6A">
        <w:t>超过</w:t>
      </w:r>
      <w:r w:rsidR="00D25A6A">
        <w:rPr>
          <w:rFonts w:hint="eastAsia"/>
        </w:rPr>
        <w:t>10</w:t>
      </w:r>
      <w:r w:rsidR="00D25A6A">
        <w:t>%</w:t>
      </w:r>
      <w:r w:rsidR="00D25A6A">
        <w:t>的基金有</w:t>
      </w:r>
      <w:r w:rsidR="00D25A6A">
        <w:rPr>
          <w:rFonts w:hint="eastAsia"/>
        </w:rPr>
        <w:t>29</w:t>
      </w:r>
      <w:r w:rsidR="008F6EB6">
        <w:rPr>
          <w:rFonts w:hint="eastAsia"/>
        </w:rPr>
        <w:t>只</w:t>
      </w:r>
      <w:r w:rsidR="00D25A6A">
        <w:t>，</w:t>
      </w:r>
      <w:r w:rsidR="00D25A6A">
        <w:rPr>
          <w:rFonts w:hint="eastAsia"/>
        </w:rPr>
        <w:t>大</w:t>
      </w:r>
      <w:r w:rsidR="00D25A6A">
        <w:t>部分</w:t>
      </w:r>
      <w:r w:rsidR="00D25A6A">
        <w:rPr>
          <w:rFonts w:hint="eastAsia"/>
        </w:rPr>
        <w:t>基金</w:t>
      </w:r>
      <w:r w:rsidR="00D25A6A">
        <w:t>的收益率集中于</w:t>
      </w:r>
      <w:r w:rsidR="00D25A6A">
        <w:rPr>
          <w:rFonts w:hint="eastAsia"/>
        </w:rPr>
        <w:t>4</w:t>
      </w:r>
      <w:r w:rsidR="00D25A6A">
        <w:t>%</w:t>
      </w:r>
      <w:r w:rsidR="005B5276">
        <w:rPr>
          <w:rFonts w:hint="eastAsia"/>
        </w:rPr>
        <w:t>~</w:t>
      </w:r>
      <w:r w:rsidR="00D25A6A">
        <w:rPr>
          <w:rFonts w:hint="eastAsia"/>
        </w:rPr>
        <w:t>10</w:t>
      </w:r>
      <w:r w:rsidR="00D25A6A">
        <w:t>%</w:t>
      </w:r>
      <w:r w:rsidR="00D25A6A">
        <w:t>之间，</w:t>
      </w:r>
      <w:r w:rsidR="00D25A6A">
        <w:rPr>
          <w:rFonts w:hint="eastAsia"/>
        </w:rPr>
        <w:t>占</w:t>
      </w:r>
      <w:r w:rsidR="00D25A6A">
        <w:t>到基金</w:t>
      </w:r>
      <w:r w:rsidR="00D25A6A">
        <w:rPr>
          <w:rFonts w:hint="eastAsia"/>
        </w:rPr>
        <w:t>总数</w:t>
      </w:r>
      <w:r w:rsidR="00D25A6A">
        <w:t>的</w:t>
      </w:r>
      <w:r w:rsidR="00D25A6A">
        <w:rPr>
          <w:rFonts w:hint="eastAsia"/>
        </w:rPr>
        <w:t>70</w:t>
      </w:r>
      <w:r w:rsidR="00D25A6A">
        <w:t>%</w:t>
      </w:r>
      <w:r w:rsidR="00D25A6A">
        <w:t>以上，另外</w:t>
      </w:r>
      <w:r w:rsidR="00D25A6A">
        <w:rPr>
          <w:rFonts w:hint="eastAsia"/>
        </w:rPr>
        <w:t>绝大</w:t>
      </w:r>
      <w:r w:rsidR="00D25A6A">
        <w:t>部分的基金实现了正收益</w:t>
      </w:r>
      <w:r w:rsidR="005B5276">
        <w:rPr>
          <w:rFonts w:hint="eastAsia"/>
        </w:rPr>
        <w:t>（见表</w:t>
      </w:r>
      <w:r w:rsidR="005B5276">
        <w:rPr>
          <w:rFonts w:hint="eastAsia"/>
        </w:rPr>
        <w:t>9</w:t>
      </w:r>
      <w:r w:rsidR="005B5276">
        <w:rPr>
          <w:rFonts w:hint="eastAsia"/>
        </w:rPr>
        <w:t>）</w:t>
      </w:r>
      <w:r w:rsidR="00D25A6A">
        <w:t>。</w:t>
      </w:r>
    </w:p>
    <w:p w:rsidR="00D25A6A" w:rsidRPr="0035189F" w:rsidRDefault="00D25A6A" w:rsidP="00D25A6A">
      <w:pPr>
        <w:rPr>
          <w:b/>
        </w:rPr>
      </w:pPr>
    </w:p>
    <w:p w:rsidR="000D140E" w:rsidRPr="0035189F" w:rsidRDefault="000D140E" w:rsidP="004002FA">
      <w:pPr>
        <w:pStyle w:val="af"/>
        <w:keepNext/>
        <w:jc w:val="center"/>
        <w:rPr>
          <w:b/>
        </w:rPr>
      </w:pPr>
      <w:r w:rsidRPr="0035189F">
        <w:rPr>
          <w:rFonts w:hint="eastAsia"/>
          <w:b/>
        </w:rPr>
        <w:t>表</w:t>
      </w:r>
      <w:r w:rsidR="005B5276" w:rsidRPr="0035189F">
        <w:rPr>
          <w:rFonts w:hint="eastAsia"/>
          <w:b/>
        </w:rPr>
        <w:t>9</w:t>
      </w:r>
      <w:r w:rsidRPr="0035189F">
        <w:rPr>
          <w:b/>
        </w:rPr>
        <w:t xml:space="preserve"> </w:t>
      </w:r>
      <w:r w:rsidRPr="0035189F">
        <w:rPr>
          <w:rFonts w:hint="eastAsia"/>
          <w:b/>
        </w:rPr>
        <w:t>澳大利亚超级年金基金收益率分别</w:t>
      </w:r>
    </w:p>
    <w:p w:rsidR="005B5276" w:rsidRPr="005B5276" w:rsidRDefault="005B5276" w:rsidP="005B5276">
      <w:pPr>
        <w:jc w:val="right"/>
      </w:pPr>
      <w:r>
        <w:rPr>
          <w:rFonts w:hint="eastAsia"/>
        </w:rPr>
        <w:t>单位：只，</w:t>
      </w:r>
      <w:r>
        <w:rPr>
          <w:rFonts w:hint="eastAsia"/>
        </w:rPr>
        <w:t>%</w:t>
      </w:r>
    </w:p>
    <w:tbl>
      <w:tblPr>
        <w:tblW w:w="5000" w:type="pct"/>
        <w:tblLook w:val="04A0"/>
      </w:tblPr>
      <w:tblGrid>
        <w:gridCol w:w="3467"/>
        <w:gridCol w:w="2759"/>
        <w:gridCol w:w="2296"/>
      </w:tblGrid>
      <w:tr w:rsidR="00D25A6A" w:rsidRPr="00183CAD" w:rsidTr="00D25A6A">
        <w:trPr>
          <w:trHeight w:val="285"/>
        </w:trPr>
        <w:tc>
          <w:tcPr>
            <w:tcW w:w="2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b/>
                <w:color w:val="000000"/>
                <w:kern w:val="0"/>
                <w:sz w:val="22"/>
              </w:rPr>
            </w:pPr>
            <w:r w:rsidRPr="00183CAD">
              <w:rPr>
                <w:rFonts w:ascii="宋体" w:eastAsia="宋体" w:hAnsi="宋体" w:cs="宋体" w:hint="eastAsia"/>
                <w:b/>
                <w:color w:val="000000"/>
                <w:kern w:val="0"/>
                <w:sz w:val="22"/>
              </w:rPr>
              <w:t>基金收益率</w:t>
            </w:r>
          </w:p>
        </w:tc>
        <w:tc>
          <w:tcPr>
            <w:tcW w:w="1619" w:type="pct"/>
            <w:tcBorders>
              <w:top w:val="single" w:sz="4" w:space="0" w:color="auto"/>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b/>
                <w:color w:val="000000"/>
                <w:kern w:val="0"/>
                <w:sz w:val="22"/>
              </w:rPr>
            </w:pPr>
            <w:r w:rsidRPr="00183CAD">
              <w:rPr>
                <w:rFonts w:ascii="宋体" w:eastAsia="宋体" w:hAnsi="宋体" w:cs="宋体" w:hint="eastAsia"/>
                <w:b/>
                <w:color w:val="000000"/>
                <w:kern w:val="0"/>
                <w:sz w:val="22"/>
              </w:rPr>
              <w:t>基金个数</w:t>
            </w:r>
          </w:p>
        </w:tc>
        <w:tc>
          <w:tcPr>
            <w:tcW w:w="1347" w:type="pct"/>
            <w:tcBorders>
              <w:top w:val="single" w:sz="4" w:space="0" w:color="auto"/>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b/>
                <w:color w:val="000000"/>
                <w:kern w:val="0"/>
                <w:sz w:val="22"/>
              </w:rPr>
            </w:pPr>
            <w:r w:rsidRPr="00183CAD">
              <w:rPr>
                <w:rFonts w:ascii="宋体" w:eastAsia="宋体" w:hAnsi="宋体" w:cs="宋体" w:hint="eastAsia"/>
                <w:b/>
                <w:color w:val="000000"/>
                <w:kern w:val="0"/>
                <w:sz w:val="22"/>
              </w:rPr>
              <w:t>基金个数占比</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R≥10%</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29</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17.68</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lastRenderedPageBreak/>
              <w:t>8%&gt;R≥10%</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48</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29.27</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6%&gt;R≥8%</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49</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29.88</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4%&gt;R≥6%</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20</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12.20</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2%&gt;R≥4%</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7</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4.27</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0&gt;R≥2%</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9</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5.49</w:t>
            </w:r>
          </w:p>
        </w:tc>
      </w:tr>
      <w:tr w:rsidR="00D25A6A" w:rsidRPr="00183CAD" w:rsidTr="00D25A6A">
        <w:trPr>
          <w:trHeight w:val="285"/>
        </w:trPr>
        <w:tc>
          <w:tcPr>
            <w:tcW w:w="2034" w:type="pct"/>
            <w:tcBorders>
              <w:top w:val="nil"/>
              <w:left w:val="single" w:sz="4" w:space="0" w:color="auto"/>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R&lt;0</w:t>
            </w:r>
          </w:p>
        </w:tc>
        <w:tc>
          <w:tcPr>
            <w:tcW w:w="1619"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2</w:t>
            </w:r>
          </w:p>
        </w:tc>
        <w:tc>
          <w:tcPr>
            <w:tcW w:w="1347" w:type="pct"/>
            <w:tcBorders>
              <w:top w:val="nil"/>
              <w:left w:val="nil"/>
              <w:bottom w:val="single" w:sz="4" w:space="0" w:color="auto"/>
              <w:right w:val="single" w:sz="4" w:space="0" w:color="auto"/>
            </w:tcBorders>
            <w:shd w:val="clear" w:color="auto" w:fill="auto"/>
            <w:noWrap/>
            <w:vAlign w:val="center"/>
            <w:hideMark/>
          </w:tcPr>
          <w:p w:rsidR="00D25A6A" w:rsidRPr="00183CAD" w:rsidRDefault="00D25A6A" w:rsidP="00D25A6A">
            <w:pPr>
              <w:widowControl/>
              <w:jc w:val="center"/>
              <w:rPr>
                <w:rFonts w:ascii="宋体" w:eastAsia="宋体" w:hAnsi="宋体" w:cs="宋体"/>
                <w:color w:val="000000"/>
                <w:kern w:val="0"/>
                <w:sz w:val="22"/>
              </w:rPr>
            </w:pPr>
            <w:r w:rsidRPr="00183CAD">
              <w:rPr>
                <w:rFonts w:ascii="宋体" w:eastAsia="宋体" w:hAnsi="宋体" w:cs="宋体" w:hint="eastAsia"/>
                <w:color w:val="000000"/>
                <w:kern w:val="0"/>
                <w:sz w:val="22"/>
              </w:rPr>
              <w:t>1.22</w:t>
            </w:r>
          </w:p>
        </w:tc>
      </w:tr>
    </w:tbl>
    <w:p w:rsidR="00D25A6A" w:rsidRDefault="005B5276" w:rsidP="00D25A6A">
      <w:r>
        <w:rPr>
          <w:rFonts w:hint="eastAsia"/>
          <w:sz w:val="18"/>
        </w:rPr>
        <w:t>资料</w:t>
      </w:r>
      <w:r w:rsidR="002F629E" w:rsidRPr="001E2C99">
        <w:rPr>
          <w:sz w:val="18"/>
        </w:rPr>
        <w:t>来源：</w:t>
      </w:r>
      <w:r w:rsidR="001E2C99" w:rsidRPr="009F29F4">
        <w:rPr>
          <w:sz w:val="18"/>
        </w:rPr>
        <w:t>Annual Fund-level Superannuation Statistics June 2017</w:t>
      </w:r>
    </w:p>
    <w:p w:rsidR="0035189F" w:rsidRDefault="0035189F" w:rsidP="0035189F"/>
    <w:p w:rsidR="0035189F" w:rsidRDefault="0035189F" w:rsidP="0035189F">
      <w:r>
        <w:rPr>
          <w:rFonts w:hint="eastAsia"/>
        </w:rPr>
        <w:t>自愿型超级</w:t>
      </w:r>
      <w:r>
        <w:t>年金</w:t>
      </w:r>
      <w:r>
        <w:rPr>
          <w:rFonts w:hint="eastAsia"/>
        </w:rPr>
        <w:t>收益区别</w:t>
      </w:r>
      <w:r>
        <w:t>于超级年金</w:t>
      </w:r>
      <w:r>
        <w:rPr>
          <w:rFonts w:hint="eastAsia"/>
        </w:rPr>
        <w:t>收益</w:t>
      </w:r>
      <w:r>
        <w:t>的特点</w:t>
      </w:r>
      <w:r>
        <w:rPr>
          <w:rFonts w:hint="eastAsia"/>
        </w:rPr>
        <w:t>可以从</w:t>
      </w:r>
      <w:r>
        <w:rPr>
          <w:rFonts w:hint="eastAsia"/>
        </w:rPr>
        <w:t>2017</w:t>
      </w:r>
      <w:r>
        <w:rPr>
          <w:rFonts w:hint="eastAsia"/>
        </w:rPr>
        <w:t>年</w:t>
      </w:r>
      <w:r>
        <w:t>超级年金基金的缴费和收益数据中</w:t>
      </w:r>
      <w:r>
        <w:rPr>
          <w:rFonts w:hint="eastAsia"/>
        </w:rPr>
        <w:t>观察。</w:t>
      </w:r>
      <w:r>
        <w:t>在</w:t>
      </w:r>
      <w:r>
        <w:rPr>
          <w:rFonts w:hint="eastAsia"/>
        </w:rPr>
        <w:t>2017</w:t>
      </w:r>
      <w:r>
        <w:rPr>
          <w:rFonts w:hint="eastAsia"/>
        </w:rPr>
        <w:t>年度</w:t>
      </w:r>
      <w:r>
        <w:rPr>
          <w:rFonts w:hint="eastAsia"/>
        </w:rPr>
        <w:t>199</w:t>
      </w:r>
      <w:r>
        <w:rPr>
          <w:rFonts w:hint="eastAsia"/>
        </w:rPr>
        <w:t>只注册</w:t>
      </w:r>
      <w:r>
        <w:t>的超级年金基金</w:t>
      </w:r>
      <w:r>
        <w:rPr>
          <w:rFonts w:hint="eastAsia"/>
        </w:rPr>
        <w:t>中</w:t>
      </w:r>
      <w:r>
        <w:t>选取有</w:t>
      </w:r>
      <w:r>
        <w:rPr>
          <w:rFonts w:hint="eastAsia"/>
        </w:rPr>
        <w:t>自愿型超级</w:t>
      </w:r>
      <w:r>
        <w:t>年金</w:t>
      </w:r>
      <w:r>
        <w:rPr>
          <w:rFonts w:hint="eastAsia"/>
        </w:rPr>
        <w:t>缴费</w:t>
      </w:r>
      <w:r>
        <w:t>数据</w:t>
      </w:r>
      <w:r>
        <w:rPr>
          <w:rFonts w:hint="eastAsia"/>
        </w:rPr>
        <w:t>和</w:t>
      </w:r>
      <w:r>
        <w:t>投资收益数据的</w:t>
      </w:r>
      <w:r>
        <w:rPr>
          <w:rFonts w:hint="eastAsia"/>
        </w:rPr>
        <w:t>164</w:t>
      </w:r>
      <w:r>
        <w:rPr>
          <w:rFonts w:hint="eastAsia"/>
        </w:rPr>
        <w:t>只</w:t>
      </w:r>
      <w:r>
        <w:t>基金，</w:t>
      </w:r>
      <w:r>
        <w:rPr>
          <w:rFonts w:hint="eastAsia"/>
        </w:rPr>
        <w:t>观察自愿型超级</w:t>
      </w:r>
      <w:r>
        <w:t>年金</w:t>
      </w:r>
      <w:r>
        <w:rPr>
          <w:rFonts w:hint="eastAsia"/>
        </w:rPr>
        <w:t>所占</w:t>
      </w:r>
      <w:r>
        <w:t>的比例</w:t>
      </w:r>
      <w:r>
        <w:rPr>
          <w:rFonts w:hint="eastAsia"/>
        </w:rPr>
        <w:t>与</w:t>
      </w:r>
      <w:r>
        <w:t>资产配置和其收益之间的相关性</w:t>
      </w:r>
      <w:r>
        <w:rPr>
          <w:rFonts w:hint="eastAsia"/>
        </w:rPr>
        <w:t>。</w:t>
      </w:r>
      <w:r>
        <w:t>基金的收益与</w:t>
      </w:r>
      <w:r>
        <w:rPr>
          <w:rFonts w:hint="eastAsia"/>
        </w:rPr>
        <w:t>权益类</w:t>
      </w:r>
      <w:r>
        <w:t>投资的比例（</w:t>
      </w:r>
      <w:r>
        <w:rPr>
          <w:rFonts w:hint="eastAsia"/>
        </w:rPr>
        <w:t>包括</w:t>
      </w:r>
      <w:r>
        <w:t>房地产基建等投资）</w:t>
      </w:r>
      <w:r>
        <w:rPr>
          <w:rFonts w:hint="eastAsia"/>
        </w:rPr>
        <w:t>存在</w:t>
      </w:r>
      <w:r>
        <w:t>较强的正相关关系</w:t>
      </w:r>
      <w:r>
        <w:rPr>
          <w:rFonts w:hint="eastAsia"/>
        </w:rPr>
        <w:t>，即</w:t>
      </w:r>
      <w:r>
        <w:t>权益类资产</w:t>
      </w:r>
      <w:r>
        <w:rPr>
          <w:rFonts w:hint="eastAsia"/>
        </w:rPr>
        <w:t>的</w:t>
      </w:r>
      <w:r>
        <w:t>投资</w:t>
      </w:r>
      <w:r>
        <w:rPr>
          <w:rFonts w:hint="eastAsia"/>
        </w:rPr>
        <w:t>显著</w:t>
      </w:r>
      <w:r>
        <w:t>的增加了基金的收益水平</w:t>
      </w:r>
      <w:r>
        <w:rPr>
          <w:rFonts w:hint="eastAsia"/>
        </w:rPr>
        <w:t>。另外自愿型超级</w:t>
      </w:r>
      <w:r>
        <w:t>年金</w:t>
      </w:r>
      <w:r w:rsidRPr="00D26F0A">
        <w:rPr>
          <w:rFonts w:hint="eastAsia"/>
        </w:rPr>
        <w:t>与保障型超级年金的缴费比</w:t>
      </w:r>
      <w:r>
        <w:rPr>
          <w:rFonts w:hint="eastAsia"/>
        </w:rPr>
        <w:t>与</w:t>
      </w:r>
      <w:r>
        <w:t>投资收益率之前有弱的负相关关系</w:t>
      </w:r>
      <w:r>
        <w:rPr>
          <w:rFonts w:hint="eastAsia"/>
        </w:rPr>
        <w:t>，即</w:t>
      </w:r>
      <w:r>
        <w:t>较多的</w:t>
      </w:r>
      <w:r>
        <w:rPr>
          <w:rFonts w:hint="eastAsia"/>
        </w:rPr>
        <w:t>自愿型超级</w:t>
      </w:r>
      <w:r>
        <w:t>年金缴费可能对</w:t>
      </w:r>
      <w:r>
        <w:rPr>
          <w:rFonts w:hint="eastAsia"/>
        </w:rPr>
        <w:t>投资</w:t>
      </w:r>
      <w:r>
        <w:t>收益有负的影响</w:t>
      </w:r>
      <w:r>
        <w:rPr>
          <w:rFonts w:hint="eastAsia"/>
        </w:rPr>
        <w:t>，虽然</w:t>
      </w:r>
      <w:r>
        <w:t>相关性比较弱，但其</w:t>
      </w:r>
      <w:r>
        <w:rPr>
          <w:rFonts w:hint="eastAsia"/>
        </w:rPr>
        <w:t>内在</w:t>
      </w:r>
      <w:r>
        <w:t>原因</w:t>
      </w:r>
      <w:r>
        <w:rPr>
          <w:rFonts w:hint="eastAsia"/>
        </w:rPr>
        <w:t>值得</w:t>
      </w:r>
      <w:r>
        <w:t>进一步的研究</w:t>
      </w:r>
      <w:r>
        <w:rPr>
          <w:rStyle w:val="a5"/>
          <w:rFonts w:ascii="宋体" w:eastAsia="宋体" w:hAnsi="宋体" w:hint="eastAsia"/>
        </w:rPr>
        <w:t>①</w:t>
      </w:r>
      <w:r w:rsidR="00BD1A9A">
        <w:rPr>
          <w:rFonts w:hint="eastAsia"/>
        </w:rPr>
        <w:t>（见表</w:t>
      </w:r>
      <w:r w:rsidR="00BD1A9A">
        <w:rPr>
          <w:rFonts w:hint="eastAsia"/>
        </w:rPr>
        <w:t>10</w:t>
      </w:r>
      <w:r w:rsidR="00BD1A9A">
        <w:rPr>
          <w:rFonts w:hint="eastAsia"/>
        </w:rPr>
        <w:t>）</w:t>
      </w:r>
      <w:r w:rsidR="00BD1A9A">
        <w:t>。</w:t>
      </w:r>
    </w:p>
    <w:p w:rsidR="000D140E" w:rsidRDefault="000D140E" w:rsidP="00D25A6A"/>
    <w:p w:rsidR="000D140E" w:rsidRPr="0035189F" w:rsidRDefault="000D140E" w:rsidP="004002FA">
      <w:pPr>
        <w:pStyle w:val="af"/>
        <w:keepNext/>
        <w:jc w:val="center"/>
        <w:rPr>
          <w:b/>
        </w:rPr>
      </w:pPr>
      <w:r w:rsidRPr="0035189F">
        <w:rPr>
          <w:rFonts w:hint="eastAsia"/>
          <w:b/>
        </w:rPr>
        <w:t>表</w:t>
      </w:r>
      <w:r w:rsidRPr="0035189F">
        <w:rPr>
          <w:rFonts w:hint="eastAsia"/>
          <w:b/>
        </w:rPr>
        <w:t xml:space="preserve"> </w:t>
      </w:r>
      <w:r w:rsidR="009D2541" w:rsidRPr="0035189F">
        <w:rPr>
          <w:b/>
        </w:rPr>
        <w:fldChar w:fldCharType="begin"/>
      </w:r>
      <w:r w:rsidRPr="0035189F">
        <w:rPr>
          <w:b/>
        </w:rPr>
        <w:instrText xml:space="preserve"> </w:instrText>
      </w:r>
      <w:r w:rsidRPr="0035189F">
        <w:rPr>
          <w:rFonts w:hint="eastAsia"/>
          <w:b/>
        </w:rPr>
        <w:instrText xml:space="preserve">SEQ </w:instrText>
      </w:r>
      <w:r w:rsidRPr="0035189F">
        <w:rPr>
          <w:rFonts w:hint="eastAsia"/>
          <w:b/>
        </w:rPr>
        <w:instrText>表</w:instrText>
      </w:r>
      <w:r w:rsidRPr="0035189F">
        <w:rPr>
          <w:rFonts w:hint="eastAsia"/>
          <w:b/>
        </w:rPr>
        <w:instrText xml:space="preserve"> \* ARABIC</w:instrText>
      </w:r>
      <w:r w:rsidRPr="0035189F">
        <w:rPr>
          <w:b/>
        </w:rPr>
        <w:instrText xml:space="preserve"> </w:instrText>
      </w:r>
      <w:r w:rsidR="009D2541" w:rsidRPr="0035189F">
        <w:rPr>
          <w:b/>
        </w:rPr>
        <w:fldChar w:fldCharType="separate"/>
      </w:r>
      <w:r w:rsidR="003559DA" w:rsidRPr="0035189F">
        <w:rPr>
          <w:b/>
          <w:noProof/>
        </w:rPr>
        <w:t>1</w:t>
      </w:r>
      <w:r w:rsidR="005B5276" w:rsidRPr="0035189F">
        <w:rPr>
          <w:rFonts w:hint="eastAsia"/>
          <w:b/>
          <w:noProof/>
        </w:rPr>
        <w:t>0</w:t>
      </w:r>
      <w:r w:rsidR="009D2541" w:rsidRPr="0035189F">
        <w:rPr>
          <w:b/>
        </w:rPr>
        <w:fldChar w:fldCharType="end"/>
      </w:r>
      <w:r w:rsidR="006E2BF4" w:rsidRPr="0035189F">
        <w:rPr>
          <w:rFonts w:hint="eastAsia"/>
          <w:b/>
        </w:rPr>
        <w:t>自愿型超级</w:t>
      </w:r>
      <w:r w:rsidR="006E2BF4" w:rsidRPr="0035189F">
        <w:rPr>
          <w:b/>
        </w:rPr>
        <w:t>年金</w:t>
      </w:r>
      <w:r w:rsidRPr="0035189F">
        <w:rPr>
          <w:b/>
        </w:rPr>
        <w:t>缴费、资产配置与</w:t>
      </w:r>
      <w:r w:rsidRPr="0035189F">
        <w:rPr>
          <w:rFonts w:hint="eastAsia"/>
          <w:b/>
        </w:rPr>
        <w:t>澳大利亚超级年金收益率相关性</w:t>
      </w:r>
    </w:p>
    <w:p w:rsidR="00D25A6A" w:rsidRDefault="00D25A6A" w:rsidP="004002FA">
      <w:pPr>
        <w:jc w:val="center"/>
      </w:pPr>
      <w:r>
        <w:rPr>
          <w:noProof/>
        </w:rPr>
        <w:drawing>
          <wp:inline distT="0" distB="0" distL="0" distR="0">
            <wp:extent cx="4375164" cy="1226820"/>
            <wp:effectExtent l="19050" t="0" r="6336"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380000" cy="1228176"/>
                    </a:xfrm>
                    <a:prstGeom prst="rect">
                      <a:avLst/>
                    </a:prstGeom>
                  </pic:spPr>
                </pic:pic>
              </a:graphicData>
            </a:graphic>
          </wp:inline>
        </w:drawing>
      </w:r>
    </w:p>
    <w:p w:rsidR="00D25A6A" w:rsidRPr="009F29F4" w:rsidRDefault="00D25A6A" w:rsidP="00D25A6A">
      <w:pPr>
        <w:rPr>
          <w:sz w:val="18"/>
        </w:rPr>
      </w:pPr>
      <w:r w:rsidRPr="00D26F0A">
        <w:rPr>
          <w:rFonts w:hint="eastAsia"/>
          <w:sz w:val="18"/>
        </w:rPr>
        <w:t>注</w:t>
      </w:r>
      <w:r w:rsidRPr="00D26F0A">
        <w:rPr>
          <w:sz w:val="18"/>
        </w:rPr>
        <w:t>：</w:t>
      </w:r>
      <w:r>
        <w:rPr>
          <w:sz w:val="18"/>
        </w:rPr>
        <w:tab/>
      </w:r>
      <w:r w:rsidR="005B5276">
        <w:rPr>
          <w:rFonts w:ascii="宋体" w:eastAsia="宋体" w:hAnsi="宋体" w:hint="eastAsia"/>
          <w:sz w:val="18"/>
        </w:rPr>
        <w:t>①</w:t>
      </w:r>
      <w:r w:rsidR="00BD1A9A">
        <w:rPr>
          <w:rFonts w:hint="eastAsia"/>
          <w:sz w:val="18"/>
        </w:rPr>
        <w:t>资料来源于</w:t>
      </w:r>
      <w:r w:rsidRPr="009F29F4">
        <w:rPr>
          <w:sz w:val="18"/>
        </w:rPr>
        <w:t>Annual Fund-level Superannuation Statistics June 2017</w:t>
      </w:r>
      <w:r w:rsidR="00BD1A9A">
        <w:rPr>
          <w:rFonts w:hint="eastAsia"/>
          <w:sz w:val="18"/>
        </w:rPr>
        <w:t>；</w:t>
      </w:r>
    </w:p>
    <w:p w:rsidR="00D25A6A" w:rsidRDefault="00D25A6A" w:rsidP="00D25A6A">
      <w:pPr>
        <w:rPr>
          <w:sz w:val="18"/>
        </w:rPr>
      </w:pPr>
      <w:r w:rsidRPr="009F29F4">
        <w:rPr>
          <w:sz w:val="18"/>
        </w:rPr>
        <w:tab/>
      </w:r>
      <w:r w:rsidR="005B5276">
        <w:rPr>
          <w:rFonts w:ascii="宋体" w:eastAsia="宋体" w:hAnsi="宋体" w:hint="eastAsia"/>
          <w:sz w:val="18"/>
        </w:rPr>
        <w:t>②</w:t>
      </w:r>
      <w:r w:rsidRPr="009F29F4">
        <w:rPr>
          <w:sz w:val="18"/>
        </w:rPr>
        <w:t>*</w:t>
      </w:r>
      <w:r w:rsidRPr="009F29F4">
        <w:rPr>
          <w:sz w:val="18"/>
        </w:rPr>
        <w:t>表示</w:t>
      </w:r>
      <w:r w:rsidRPr="009F29F4">
        <w:rPr>
          <w:rFonts w:hint="eastAsia"/>
          <w:sz w:val="18"/>
        </w:rPr>
        <w:t>在</w:t>
      </w:r>
      <w:r w:rsidRPr="009F29F4">
        <w:rPr>
          <w:rFonts w:hint="eastAsia"/>
          <w:sz w:val="18"/>
        </w:rPr>
        <w:t>0.05</w:t>
      </w:r>
      <w:r w:rsidRPr="009F29F4">
        <w:rPr>
          <w:rFonts w:hint="eastAsia"/>
          <w:sz w:val="18"/>
        </w:rPr>
        <w:t>水平</w:t>
      </w:r>
      <w:r w:rsidRPr="009F29F4">
        <w:rPr>
          <w:sz w:val="18"/>
        </w:rPr>
        <w:t>上显著</w:t>
      </w:r>
      <w:r w:rsidR="00BD1A9A">
        <w:rPr>
          <w:rFonts w:hint="eastAsia"/>
          <w:sz w:val="18"/>
        </w:rPr>
        <w:t>；</w:t>
      </w:r>
    </w:p>
    <w:p w:rsidR="00D25A6A" w:rsidRPr="00D26F0A" w:rsidRDefault="005B5276" w:rsidP="00D25A6A">
      <w:pPr>
        <w:ind w:firstLine="420"/>
        <w:rPr>
          <w:sz w:val="18"/>
        </w:rPr>
      </w:pPr>
      <w:r w:rsidRPr="005B5276">
        <w:rPr>
          <w:rFonts w:ascii="宋体" w:eastAsia="宋体" w:hAnsi="宋体"/>
          <w:sz w:val="18"/>
        </w:rPr>
        <w:t>③</w:t>
      </w:r>
      <w:r w:rsidR="00D25A6A" w:rsidRPr="00D26F0A">
        <w:rPr>
          <w:sz w:val="18"/>
        </w:rPr>
        <w:t>pcr</w:t>
      </w:r>
      <w:r>
        <w:rPr>
          <w:rFonts w:hint="eastAsia"/>
          <w:sz w:val="18"/>
        </w:rPr>
        <w:t>为</w:t>
      </w:r>
      <w:r w:rsidR="006E2BF4" w:rsidRPr="006E2BF4">
        <w:rPr>
          <w:rFonts w:hint="eastAsia"/>
          <w:sz w:val="18"/>
        </w:rPr>
        <w:t>自愿型超级年金</w:t>
      </w:r>
      <w:r w:rsidR="00D25A6A" w:rsidRPr="00D26F0A">
        <w:rPr>
          <w:sz w:val="18"/>
        </w:rPr>
        <w:t>与保障型超级年金的缴费比</w:t>
      </w:r>
      <w:r w:rsidR="00D25A6A" w:rsidRPr="00D26F0A">
        <w:rPr>
          <w:rFonts w:hint="eastAsia"/>
          <w:sz w:val="18"/>
        </w:rPr>
        <w:t>；</w:t>
      </w:r>
      <w:r w:rsidR="00D25A6A" w:rsidRPr="00D26F0A">
        <w:rPr>
          <w:sz w:val="18"/>
        </w:rPr>
        <w:t>eir</w:t>
      </w:r>
      <w:r>
        <w:rPr>
          <w:rFonts w:hint="eastAsia"/>
          <w:sz w:val="18"/>
        </w:rPr>
        <w:t>为</w:t>
      </w:r>
      <w:r w:rsidR="00D25A6A" w:rsidRPr="00D26F0A">
        <w:rPr>
          <w:sz w:val="18"/>
        </w:rPr>
        <w:t>权益类投资比例；</w:t>
      </w:r>
      <w:r w:rsidR="00A728BD">
        <w:rPr>
          <w:rFonts w:hint="eastAsia"/>
          <w:sz w:val="18"/>
        </w:rPr>
        <w:t>rr</w:t>
      </w:r>
      <w:r>
        <w:rPr>
          <w:rFonts w:hint="eastAsia"/>
          <w:sz w:val="18"/>
        </w:rPr>
        <w:t>为</w:t>
      </w:r>
      <w:r w:rsidR="00D25A6A" w:rsidRPr="00D26F0A">
        <w:rPr>
          <w:rFonts w:hint="eastAsia"/>
          <w:sz w:val="18"/>
        </w:rPr>
        <w:t>2017</w:t>
      </w:r>
      <w:r w:rsidR="00D25A6A" w:rsidRPr="00D26F0A">
        <w:rPr>
          <w:rFonts w:hint="eastAsia"/>
          <w:sz w:val="18"/>
        </w:rPr>
        <w:t>年度</w:t>
      </w:r>
      <w:r w:rsidR="00D25A6A" w:rsidRPr="00D26F0A">
        <w:rPr>
          <w:sz w:val="18"/>
        </w:rPr>
        <w:t>收益率</w:t>
      </w:r>
    </w:p>
    <w:p w:rsidR="00D25A6A" w:rsidRDefault="00D25A6A" w:rsidP="00D25A6A"/>
    <w:p w:rsidR="00D25A6A" w:rsidRPr="006C4ED4" w:rsidRDefault="005B5276" w:rsidP="006C4ED4">
      <w:pPr>
        <w:pStyle w:val="2"/>
        <w:rPr>
          <w:sz w:val="28"/>
          <w:szCs w:val="28"/>
        </w:rPr>
      </w:pPr>
      <w:r w:rsidRPr="005B5276">
        <w:rPr>
          <w:rFonts w:hint="eastAsia"/>
          <w:b w:val="0"/>
          <w:bCs w:val="0"/>
        </w:rPr>
        <w:t>（三）</w:t>
      </w:r>
      <w:r w:rsidR="00D25A6A" w:rsidRPr="006C4ED4">
        <w:rPr>
          <w:rFonts w:hint="eastAsia"/>
          <w:sz w:val="28"/>
          <w:szCs w:val="28"/>
        </w:rPr>
        <w:t>澳大利亚</w:t>
      </w:r>
      <w:r w:rsidR="006E2BF4" w:rsidRPr="006E2BF4">
        <w:rPr>
          <w:rFonts w:hint="eastAsia"/>
          <w:sz w:val="28"/>
          <w:szCs w:val="28"/>
        </w:rPr>
        <w:t>自愿型超级年金</w:t>
      </w:r>
      <w:r w:rsidR="00D25A6A" w:rsidRPr="006C4ED4">
        <w:rPr>
          <w:sz w:val="28"/>
          <w:szCs w:val="28"/>
        </w:rPr>
        <w:t>的监管</w:t>
      </w:r>
    </w:p>
    <w:p w:rsidR="00D25A6A" w:rsidRDefault="00D25A6A" w:rsidP="00B346B1">
      <w:r>
        <w:rPr>
          <w:rFonts w:hint="eastAsia"/>
        </w:rPr>
        <w:t>由于澳大利亚</w:t>
      </w:r>
      <w:r w:rsidR="006E2BF4">
        <w:rPr>
          <w:rFonts w:hint="eastAsia"/>
        </w:rPr>
        <w:t>自愿型超级</w:t>
      </w:r>
      <w:r w:rsidR="006E2BF4">
        <w:t>年金</w:t>
      </w:r>
      <w:r>
        <w:t>是在</w:t>
      </w:r>
      <w:r>
        <w:rPr>
          <w:rFonts w:hint="eastAsia"/>
        </w:rPr>
        <w:t>超级</w:t>
      </w:r>
      <w:r>
        <w:t>年金体系之下</w:t>
      </w:r>
      <w:r>
        <w:rPr>
          <w:rFonts w:hint="eastAsia"/>
        </w:rPr>
        <w:t>的自愿</w:t>
      </w:r>
      <w:r>
        <w:t>储蓄，所以</w:t>
      </w:r>
      <w:r>
        <w:rPr>
          <w:rFonts w:hint="eastAsia"/>
        </w:rPr>
        <w:t>其</w:t>
      </w:r>
      <w:r>
        <w:t>监管遵从</w:t>
      </w:r>
      <w:r>
        <w:rPr>
          <w:rFonts w:hint="eastAsia"/>
        </w:rPr>
        <w:t>超级</w:t>
      </w:r>
      <w:r>
        <w:t>年金的管理方式</w:t>
      </w:r>
      <w:r>
        <w:rPr>
          <w:rFonts w:hint="eastAsia"/>
        </w:rPr>
        <w:t>：首先是</w:t>
      </w:r>
      <w:r>
        <w:t>遵循</w:t>
      </w:r>
      <w:r>
        <w:rPr>
          <w:rFonts w:hint="eastAsia"/>
        </w:rPr>
        <w:t>《</w:t>
      </w:r>
      <w:r>
        <w:t>超级年金保障</w:t>
      </w:r>
      <w:r>
        <w:t>(</w:t>
      </w:r>
      <w:r>
        <w:rPr>
          <w:rFonts w:hint="eastAsia"/>
        </w:rPr>
        <w:t>管理</w:t>
      </w:r>
      <w:r>
        <w:t>)</w:t>
      </w:r>
      <w:r>
        <w:rPr>
          <w:rFonts w:hint="eastAsia"/>
        </w:rPr>
        <w:t>法</w:t>
      </w:r>
      <w:r>
        <w:t>案</w:t>
      </w:r>
      <w:r>
        <w:rPr>
          <w:rFonts w:hint="eastAsia"/>
        </w:rPr>
        <w:t>》，《</w:t>
      </w:r>
      <w:r>
        <w:rPr>
          <w:rFonts w:hint="eastAsia"/>
        </w:rPr>
        <w:t>1993</w:t>
      </w:r>
      <w:r>
        <w:t>超级年金</w:t>
      </w:r>
      <w:r>
        <w:rPr>
          <w:rFonts w:hint="eastAsia"/>
        </w:rPr>
        <w:t>业</w:t>
      </w:r>
      <w:r>
        <w:t>（</w:t>
      </w:r>
      <w:r>
        <w:rPr>
          <w:rFonts w:hint="eastAsia"/>
        </w:rPr>
        <w:t>监管</w:t>
      </w:r>
      <w:r>
        <w:t>）</w:t>
      </w:r>
      <w:r>
        <w:rPr>
          <w:rFonts w:hint="eastAsia"/>
        </w:rPr>
        <w:t>法》。</w:t>
      </w:r>
      <w:r>
        <w:t>此外</w:t>
      </w:r>
      <w:r>
        <w:rPr>
          <w:rFonts w:hint="eastAsia"/>
        </w:rPr>
        <w:t>，</w:t>
      </w:r>
      <w:r w:rsidR="00156761">
        <w:t>个税福利抵扣</w:t>
      </w:r>
      <w:r>
        <w:t>部分要遵从</w:t>
      </w:r>
      <w:r>
        <w:rPr>
          <w:rFonts w:hint="eastAsia"/>
        </w:rPr>
        <w:t>《</w:t>
      </w:r>
      <w:r>
        <w:rPr>
          <w:rFonts w:hint="eastAsia"/>
        </w:rPr>
        <w:t>2009</w:t>
      </w:r>
      <w:r>
        <w:rPr>
          <w:rFonts w:hint="eastAsia"/>
        </w:rPr>
        <w:t>公平</w:t>
      </w:r>
      <w:r>
        <w:t>工作法</w:t>
      </w:r>
      <w:r>
        <w:rPr>
          <w:rFonts w:hint="eastAsia"/>
        </w:rPr>
        <w:t>》（</w:t>
      </w:r>
      <w:r w:rsidRPr="00EF59AB">
        <w:rPr>
          <w:i/>
          <w:iCs/>
        </w:rPr>
        <w:t>Fair Work Act 2009</w:t>
      </w:r>
      <w:r>
        <w:rPr>
          <w:rFonts w:hint="eastAsia"/>
        </w:rPr>
        <w:t>），</w:t>
      </w:r>
      <w:r w:rsidR="005F1037">
        <w:rPr>
          <w:rFonts w:hint="eastAsia"/>
        </w:rPr>
        <w:t>税务</w:t>
      </w:r>
      <w:r w:rsidR="005F1037">
        <w:t>处理上</w:t>
      </w:r>
      <w:r w:rsidR="005F1037">
        <w:rPr>
          <w:rFonts w:hint="eastAsia"/>
        </w:rPr>
        <w:t>遵从附加</w:t>
      </w:r>
      <w:r w:rsidR="005F1037">
        <w:t>福利税法</w:t>
      </w:r>
      <w:r w:rsidR="005F1037">
        <w:rPr>
          <w:rFonts w:hint="eastAsia"/>
        </w:rPr>
        <w:t>（</w:t>
      </w:r>
      <w:r w:rsidR="005F1037">
        <w:rPr>
          <w:rFonts w:hint="eastAsia"/>
        </w:rPr>
        <w:t>Fringe</w:t>
      </w:r>
      <w:r w:rsidR="005F1037">
        <w:t xml:space="preserve"> Benefits Tax</w:t>
      </w:r>
      <w:r w:rsidR="005F1037">
        <w:rPr>
          <w:rFonts w:hint="eastAsia"/>
        </w:rPr>
        <w:t>）的</w:t>
      </w:r>
      <w:r w:rsidR="005F1037">
        <w:t>规定</w:t>
      </w:r>
      <w:r>
        <w:t>。</w:t>
      </w:r>
      <w:r>
        <w:rPr>
          <w:rFonts w:hint="eastAsia"/>
        </w:rPr>
        <w:t>管理</w:t>
      </w:r>
      <w:r w:rsidR="006E2BF4">
        <w:rPr>
          <w:rFonts w:hint="eastAsia"/>
        </w:rPr>
        <w:t>自愿型超级</w:t>
      </w:r>
      <w:r w:rsidR="006E2BF4">
        <w:t>年金</w:t>
      </w:r>
      <w:r>
        <w:t>的超级年金实体与基金</w:t>
      </w:r>
      <w:r>
        <w:rPr>
          <w:rFonts w:hint="eastAsia"/>
        </w:rPr>
        <w:t>依然</w:t>
      </w:r>
      <w:r>
        <w:t>是根据其分类</w:t>
      </w:r>
      <w:r w:rsidR="00D5791A">
        <w:rPr>
          <w:rFonts w:hint="eastAsia"/>
        </w:rPr>
        <w:t>情况</w:t>
      </w:r>
      <w:r w:rsidR="00D5791A">
        <w:t>分别</w:t>
      </w:r>
      <w:r>
        <w:rPr>
          <w:rFonts w:hint="eastAsia"/>
        </w:rPr>
        <w:t>受澳大利亚</w:t>
      </w:r>
      <w:r>
        <w:t>审慎监管局</w:t>
      </w:r>
      <w:r>
        <w:rPr>
          <w:rFonts w:hint="eastAsia"/>
        </w:rPr>
        <w:t>（</w:t>
      </w:r>
      <w:r>
        <w:rPr>
          <w:rFonts w:hint="eastAsia"/>
        </w:rPr>
        <w:t>APRA</w:t>
      </w:r>
      <w:r>
        <w:rPr>
          <w:rFonts w:hint="eastAsia"/>
        </w:rPr>
        <w:t>）、澳大利亚证券</w:t>
      </w:r>
      <w:r>
        <w:t>和投资委员会</w:t>
      </w:r>
      <w:r>
        <w:rPr>
          <w:rFonts w:hint="eastAsia"/>
        </w:rPr>
        <w:t>（</w:t>
      </w:r>
      <w:r>
        <w:rPr>
          <w:rFonts w:hint="eastAsia"/>
        </w:rPr>
        <w:t>ASI</w:t>
      </w:r>
      <w:r>
        <w:t>C</w:t>
      </w:r>
      <w:r>
        <w:rPr>
          <w:rFonts w:hint="eastAsia"/>
        </w:rPr>
        <w:t>）和澳大利亚</w:t>
      </w:r>
      <w:r>
        <w:t>税务局（</w:t>
      </w:r>
      <w:r>
        <w:rPr>
          <w:rFonts w:hint="eastAsia"/>
        </w:rPr>
        <w:t>ATO</w:t>
      </w:r>
      <w:r>
        <w:t>）</w:t>
      </w:r>
      <w:r>
        <w:rPr>
          <w:rFonts w:hint="eastAsia"/>
        </w:rPr>
        <w:t>的</w:t>
      </w:r>
      <w:r>
        <w:t>管理</w:t>
      </w:r>
      <w:r>
        <w:rPr>
          <w:rFonts w:hint="eastAsia"/>
        </w:rPr>
        <w:t>。</w:t>
      </w:r>
    </w:p>
    <w:p w:rsidR="00317F13" w:rsidRDefault="00317F13" w:rsidP="00B346B1"/>
    <w:p w:rsidR="00317F13" w:rsidRDefault="00317F13" w:rsidP="00B346B1"/>
    <w:p w:rsidR="00317F13" w:rsidRDefault="009D2541" w:rsidP="00B346B1">
      <w:r>
        <w:rPr>
          <w:noProof/>
        </w:rPr>
        <w:pict>
          <v:shapetype id="_x0000_t32" coordsize="21600,21600" o:spt="32" o:oned="t" path="m,l21600,21600e" filled="f">
            <v:path arrowok="t" fillok="f" o:connecttype="none"/>
            <o:lock v:ext="edit" shapetype="t"/>
          </v:shapetype>
          <v:shape id="_x0000_s1030" type="#_x0000_t32" style="position:absolute;left:0;text-align:left;margin-left:.75pt;margin-top:12.7pt;width:128.25pt;height:0;z-index:251669504" o:connectortype="straight"/>
        </w:pict>
      </w:r>
    </w:p>
    <w:p w:rsidR="00317F13" w:rsidRPr="00A55A78" w:rsidRDefault="00317F13" w:rsidP="00B346B1">
      <w:pPr>
        <w:rPr>
          <w:rFonts w:asciiTheme="minorEastAsia" w:hAnsiTheme="minorEastAsia"/>
          <w:sz w:val="18"/>
          <w:szCs w:val="18"/>
        </w:rPr>
      </w:pPr>
      <w:r w:rsidRPr="00A55A78">
        <w:rPr>
          <w:rStyle w:val="a5"/>
          <w:rFonts w:asciiTheme="minorEastAsia" w:hAnsiTheme="minorEastAsia" w:hint="eastAsia"/>
          <w:sz w:val="18"/>
          <w:szCs w:val="18"/>
        </w:rPr>
        <w:t>*</w:t>
      </w:r>
      <w:r w:rsidRPr="00A55A78">
        <w:rPr>
          <w:rFonts w:asciiTheme="minorEastAsia" w:hAnsiTheme="minorEastAsia" w:hint="eastAsia"/>
          <w:sz w:val="18"/>
          <w:szCs w:val="18"/>
        </w:rPr>
        <w:t xml:space="preserve"> 超级年金个人缴费数据</w:t>
      </w:r>
      <w:r w:rsidR="00DD6695" w:rsidRPr="00A55A78">
        <w:rPr>
          <w:rFonts w:asciiTheme="minorEastAsia" w:hAnsiTheme="minorEastAsia" w:hint="eastAsia"/>
          <w:sz w:val="18"/>
          <w:szCs w:val="18"/>
        </w:rPr>
        <w:t>从2014年6月开始公布，本文对2014年6月以来的数据分别进行了相关性分析，得到的结果与2017年结果类似</w:t>
      </w:r>
      <w:r w:rsidR="00A55A78" w:rsidRPr="00A55A78">
        <w:rPr>
          <w:rFonts w:asciiTheme="minorEastAsia" w:hAnsiTheme="minorEastAsia" w:hint="eastAsia"/>
          <w:sz w:val="18"/>
          <w:szCs w:val="18"/>
        </w:rPr>
        <w:t>：权益类资产占比与收益率成正相关且显著；自愿型超级年金比例与投资收益有弱的负相关，但不再显著。</w:t>
      </w:r>
    </w:p>
    <w:p w:rsidR="00356A63" w:rsidRPr="006C4ED4" w:rsidRDefault="005B5276" w:rsidP="005B5276">
      <w:pPr>
        <w:pStyle w:val="1"/>
        <w:jc w:val="center"/>
        <w:rPr>
          <w:sz w:val="32"/>
          <w:szCs w:val="32"/>
        </w:rPr>
      </w:pPr>
      <w:r w:rsidRPr="005B5276">
        <w:rPr>
          <w:rFonts w:hint="eastAsia"/>
          <w:sz w:val="32"/>
          <w:szCs w:val="32"/>
        </w:rPr>
        <w:lastRenderedPageBreak/>
        <w:t>四</w:t>
      </w:r>
      <w:r w:rsidRPr="005B5276">
        <w:rPr>
          <w:rFonts w:hint="eastAsia"/>
          <w:b w:val="0"/>
          <w:bCs w:val="0"/>
        </w:rPr>
        <w:t xml:space="preserve"> </w:t>
      </w:r>
      <w:r w:rsidR="00356A63" w:rsidRPr="006C4ED4">
        <w:rPr>
          <w:sz w:val="32"/>
          <w:szCs w:val="32"/>
        </w:rPr>
        <w:t>澳大利亚未来基金</w:t>
      </w:r>
      <w:r w:rsidR="00D523E6">
        <w:rPr>
          <w:rFonts w:hint="eastAsia"/>
          <w:sz w:val="32"/>
          <w:szCs w:val="32"/>
        </w:rPr>
        <w:t>的</w:t>
      </w:r>
      <w:r w:rsidR="00D523E6">
        <w:rPr>
          <w:sz w:val="32"/>
          <w:szCs w:val="32"/>
        </w:rPr>
        <w:t>资产管理</w:t>
      </w:r>
    </w:p>
    <w:p w:rsidR="00356A63" w:rsidRPr="006C4ED4" w:rsidRDefault="005B5276" w:rsidP="006C4ED4">
      <w:pPr>
        <w:pStyle w:val="2"/>
        <w:rPr>
          <w:sz w:val="28"/>
          <w:szCs w:val="28"/>
        </w:rPr>
      </w:pPr>
      <w:r w:rsidRPr="005B5276">
        <w:rPr>
          <w:rFonts w:hint="eastAsia"/>
          <w:b w:val="0"/>
          <w:bCs w:val="0"/>
        </w:rPr>
        <w:t>（一）</w:t>
      </w:r>
      <w:r w:rsidR="00356A63" w:rsidRPr="005B5276">
        <w:rPr>
          <w:rFonts w:hint="eastAsia"/>
          <w:b w:val="0"/>
          <w:bCs w:val="0"/>
        </w:rPr>
        <w:t xml:space="preserve"> </w:t>
      </w:r>
      <w:r w:rsidR="00356A63" w:rsidRPr="006C4ED4">
        <w:rPr>
          <w:rFonts w:hint="eastAsia"/>
          <w:sz w:val="28"/>
          <w:szCs w:val="28"/>
        </w:rPr>
        <w:t>澳大利亚未来</w:t>
      </w:r>
      <w:r w:rsidR="00356A63" w:rsidRPr="006C4ED4">
        <w:rPr>
          <w:sz w:val="28"/>
          <w:szCs w:val="28"/>
        </w:rPr>
        <w:t>基金的</w:t>
      </w:r>
      <w:r w:rsidR="00356A63" w:rsidRPr="006C4ED4">
        <w:rPr>
          <w:rFonts w:hint="eastAsia"/>
          <w:sz w:val="28"/>
          <w:szCs w:val="28"/>
        </w:rPr>
        <w:t>运作</w:t>
      </w:r>
      <w:r w:rsidR="00356A63" w:rsidRPr="006C4ED4">
        <w:rPr>
          <w:sz w:val="28"/>
          <w:szCs w:val="28"/>
        </w:rPr>
        <w:t>模式</w:t>
      </w:r>
    </w:p>
    <w:p w:rsidR="00356A63" w:rsidRDefault="00356A63" w:rsidP="00356A63">
      <w:r>
        <w:rPr>
          <w:rFonts w:hint="eastAsia"/>
        </w:rPr>
        <w:t>未来基金</w:t>
      </w:r>
      <w:r>
        <w:t>的受托管理机构是</w:t>
      </w:r>
      <w:r>
        <w:rPr>
          <w:rFonts w:hint="eastAsia"/>
        </w:rPr>
        <w:t>未来基金</w:t>
      </w:r>
      <w:r>
        <w:t>管理委员会</w:t>
      </w:r>
      <w:r>
        <w:rPr>
          <w:rFonts w:hint="eastAsia"/>
        </w:rPr>
        <w:t>（</w:t>
      </w:r>
      <w:r>
        <w:rPr>
          <w:rFonts w:hint="eastAsia"/>
        </w:rPr>
        <w:t>Future</w:t>
      </w:r>
      <w:r>
        <w:t xml:space="preserve"> Fund Board of Guardians</w:t>
      </w:r>
      <w:r>
        <w:rPr>
          <w:rFonts w:hint="eastAsia"/>
        </w:rPr>
        <w:t>），全面</w:t>
      </w:r>
      <w:r>
        <w:t>负责超级年金的投资管理</w:t>
      </w:r>
      <w:r>
        <w:rPr>
          <w:rFonts w:hint="eastAsia"/>
        </w:rPr>
        <w:t>。根据</w:t>
      </w:r>
      <w:r w:rsidR="00E52C00">
        <w:rPr>
          <w:rFonts w:hint="eastAsia"/>
        </w:rPr>
        <w:t>未来</w:t>
      </w:r>
      <w:r w:rsidR="00E52C00">
        <w:t>基金</w:t>
      </w:r>
      <w:r w:rsidR="00E52C00">
        <w:rPr>
          <w:rFonts w:hint="eastAsia"/>
        </w:rPr>
        <w:t>法</w:t>
      </w:r>
      <w:r>
        <w:t>，</w:t>
      </w:r>
      <w:r>
        <w:rPr>
          <w:rFonts w:hint="eastAsia"/>
        </w:rPr>
        <w:t>未来基金</w:t>
      </w:r>
      <w:r>
        <w:t>管理委员会是一个法人团体，</w:t>
      </w:r>
      <w:r>
        <w:rPr>
          <w:rFonts w:hint="eastAsia"/>
        </w:rPr>
        <w:t>包括一位</w:t>
      </w:r>
      <w:r>
        <w:t>主席和</w:t>
      </w:r>
      <w:r>
        <w:rPr>
          <w:rFonts w:hint="eastAsia"/>
        </w:rPr>
        <w:t>6</w:t>
      </w:r>
      <w:r>
        <w:rPr>
          <w:rFonts w:hint="eastAsia"/>
        </w:rPr>
        <w:t>位成员，</w:t>
      </w:r>
      <w:r>
        <w:t>由总理</w:t>
      </w:r>
      <w:r>
        <w:rPr>
          <w:rFonts w:hint="eastAsia"/>
        </w:rPr>
        <w:t>任命</w:t>
      </w:r>
      <w:r>
        <w:t>，</w:t>
      </w:r>
      <w:r>
        <w:rPr>
          <w:rFonts w:hint="eastAsia"/>
        </w:rPr>
        <w:t>任期</w:t>
      </w:r>
      <w:r>
        <w:t>不超过</w:t>
      </w:r>
      <w:r>
        <w:rPr>
          <w:rFonts w:hint="eastAsia"/>
        </w:rPr>
        <w:t>5</w:t>
      </w:r>
      <w:r>
        <w:rPr>
          <w:rFonts w:hint="eastAsia"/>
        </w:rPr>
        <w:t>年。未来基金</w:t>
      </w:r>
      <w:r>
        <w:t>独立于政府运营，</w:t>
      </w:r>
      <w:r>
        <w:rPr>
          <w:rFonts w:hint="eastAsia"/>
        </w:rPr>
        <w:t>通过</w:t>
      </w:r>
      <w:r>
        <w:t>平衡风险和收益</w:t>
      </w:r>
      <w:r>
        <w:rPr>
          <w:rFonts w:hint="eastAsia"/>
        </w:rPr>
        <w:t>以</w:t>
      </w:r>
      <w:r>
        <w:t>达到</w:t>
      </w:r>
      <w:r>
        <w:rPr>
          <w:rFonts w:hint="eastAsia"/>
        </w:rPr>
        <w:t>和</w:t>
      </w:r>
      <w:r>
        <w:t>超过基金的</w:t>
      </w:r>
      <w:r>
        <w:rPr>
          <w:rFonts w:hint="eastAsia"/>
        </w:rPr>
        <w:t>投资</w:t>
      </w:r>
      <w:r>
        <w:t>目标。</w:t>
      </w:r>
      <w:r>
        <w:rPr>
          <w:rFonts w:hint="eastAsia"/>
        </w:rPr>
        <w:t>基金的</w:t>
      </w:r>
      <w:r>
        <w:t>投资目标</w:t>
      </w:r>
      <w:r>
        <w:rPr>
          <w:rFonts w:hint="eastAsia"/>
        </w:rPr>
        <w:t>由</w:t>
      </w:r>
      <w:r>
        <w:t>澳大利亚政府通过法律的形式确定</w:t>
      </w:r>
      <w:r>
        <w:rPr>
          <w:rFonts w:hint="eastAsia"/>
        </w:rPr>
        <w:t>，</w:t>
      </w:r>
      <w:r>
        <w:t>管理委员会</w:t>
      </w:r>
      <w:r>
        <w:rPr>
          <w:rFonts w:hint="eastAsia"/>
        </w:rPr>
        <w:t>无权</w:t>
      </w:r>
      <w:r>
        <w:t>决定基金的用途和目的，</w:t>
      </w:r>
      <w:r>
        <w:rPr>
          <w:rFonts w:hint="eastAsia"/>
        </w:rPr>
        <w:t>唯一</w:t>
      </w:r>
      <w:r>
        <w:t>的职责就是负责基金的保值增值。</w:t>
      </w:r>
      <w:r>
        <w:rPr>
          <w:rFonts w:hint="eastAsia"/>
        </w:rPr>
        <w:t>为了</w:t>
      </w:r>
      <w:r>
        <w:t>协助未来基金管理委员会</w:t>
      </w:r>
      <w:r>
        <w:rPr>
          <w:rFonts w:hint="eastAsia"/>
        </w:rPr>
        <w:t>提供</w:t>
      </w:r>
      <w:r>
        <w:t>支持和建议，更好</w:t>
      </w:r>
      <w:r w:rsidR="005B5276">
        <w:rPr>
          <w:rFonts w:hint="eastAsia"/>
        </w:rPr>
        <w:t>地</w:t>
      </w:r>
      <w:r>
        <w:t>完成未来基金的受托管理</w:t>
      </w:r>
      <w:r>
        <w:rPr>
          <w:rFonts w:hint="eastAsia"/>
        </w:rPr>
        <w:t>，</w:t>
      </w:r>
      <w:r w:rsidR="00E52C00">
        <w:rPr>
          <w:rFonts w:hint="eastAsia"/>
        </w:rPr>
        <w:t>澳大利亚</w:t>
      </w:r>
      <w:r>
        <w:t>政府还成立了</w:t>
      </w:r>
      <w:r>
        <w:rPr>
          <w:rFonts w:hint="eastAsia"/>
        </w:rPr>
        <w:t>未来</w:t>
      </w:r>
      <w:r>
        <w:t>基金</w:t>
      </w:r>
      <w:r>
        <w:rPr>
          <w:rFonts w:hint="eastAsia"/>
        </w:rPr>
        <w:t>管理局</w:t>
      </w:r>
      <w:r>
        <w:t>（</w:t>
      </w:r>
      <w:r>
        <w:rPr>
          <w:rFonts w:hint="eastAsia"/>
        </w:rPr>
        <w:t>Future</w:t>
      </w:r>
      <w:r>
        <w:t xml:space="preserve"> Fund Management Agency</w:t>
      </w:r>
      <w:r>
        <w:t>）</w:t>
      </w:r>
      <w:r>
        <w:rPr>
          <w:rFonts w:hint="eastAsia"/>
        </w:rPr>
        <w:t>具体</w:t>
      </w:r>
      <w:r w:rsidR="00E52C00">
        <w:rPr>
          <w:rFonts w:hint="eastAsia"/>
        </w:rPr>
        <w:t>负责未来基金</w:t>
      </w:r>
      <w:r w:rsidR="00E52C00">
        <w:t>的运营事务。</w:t>
      </w:r>
    </w:p>
    <w:p w:rsidR="005B5276" w:rsidRDefault="005B5276" w:rsidP="00356A63"/>
    <w:p w:rsidR="00356A63" w:rsidRDefault="00356A63" w:rsidP="00356A63">
      <w:r>
        <w:rPr>
          <w:rFonts w:hint="eastAsia"/>
        </w:rPr>
        <w:t>未来</w:t>
      </w:r>
      <w:r>
        <w:t>基金的</w:t>
      </w:r>
      <w:r>
        <w:rPr>
          <w:rFonts w:hint="eastAsia"/>
        </w:rPr>
        <w:t>投资</w:t>
      </w:r>
      <w:r>
        <w:t>管理全部采用</w:t>
      </w:r>
      <w:r>
        <w:rPr>
          <w:rFonts w:hint="eastAsia"/>
        </w:rPr>
        <w:t>间接</w:t>
      </w:r>
      <w:r>
        <w:t>投资</w:t>
      </w:r>
      <w:r>
        <w:rPr>
          <w:rFonts w:hint="eastAsia"/>
        </w:rPr>
        <w:t>的</w:t>
      </w:r>
      <w:r>
        <w:t>方式</w:t>
      </w:r>
      <w:r>
        <w:rPr>
          <w:rFonts w:hint="eastAsia"/>
        </w:rPr>
        <w:t>进行，</w:t>
      </w:r>
      <w:r>
        <w:t>未来基金负责投资管理人的选拔工作</w:t>
      </w:r>
      <w:r w:rsidR="00F34014">
        <w:rPr>
          <w:rFonts w:hint="eastAsia"/>
        </w:rPr>
        <w:t>和定期</w:t>
      </w:r>
      <w:r>
        <w:t>考核</w:t>
      </w:r>
      <w:r w:rsidR="00F34014">
        <w:rPr>
          <w:rFonts w:hint="eastAsia"/>
        </w:rPr>
        <w:t>工作</w:t>
      </w:r>
      <w:r>
        <w:t>。</w:t>
      </w:r>
      <w:r>
        <w:rPr>
          <w:rFonts w:hint="eastAsia"/>
        </w:rPr>
        <w:t>截至</w:t>
      </w:r>
      <w:r>
        <w:rPr>
          <w:rFonts w:hint="eastAsia"/>
        </w:rPr>
        <w:t>2017</w:t>
      </w:r>
      <w:r>
        <w:rPr>
          <w:rFonts w:hint="eastAsia"/>
        </w:rPr>
        <w:t>年</w:t>
      </w:r>
      <w:r>
        <w:rPr>
          <w:rFonts w:hint="eastAsia"/>
        </w:rPr>
        <w:t>12</w:t>
      </w:r>
      <w:r>
        <w:rPr>
          <w:rFonts w:hint="eastAsia"/>
        </w:rPr>
        <w:t>月</w:t>
      </w:r>
      <w:r>
        <w:rPr>
          <w:rFonts w:hint="eastAsia"/>
        </w:rPr>
        <w:t>31</w:t>
      </w:r>
      <w:r>
        <w:rPr>
          <w:rFonts w:hint="eastAsia"/>
        </w:rPr>
        <w:t>日</w:t>
      </w:r>
      <w:r>
        <w:t>，共有</w:t>
      </w:r>
      <w:r>
        <w:rPr>
          <w:rFonts w:hint="eastAsia"/>
        </w:rPr>
        <w:t>107</w:t>
      </w:r>
      <w:r>
        <w:rPr>
          <w:rFonts w:hint="eastAsia"/>
        </w:rPr>
        <w:t>家</w:t>
      </w:r>
      <w:r>
        <w:t>公司被选为未来基金</w:t>
      </w:r>
      <w:r>
        <w:rPr>
          <w:rFonts w:hint="eastAsia"/>
        </w:rPr>
        <w:t>的</w:t>
      </w:r>
      <w:r>
        <w:t>投资管理人</w:t>
      </w:r>
      <w:r>
        <w:rPr>
          <w:rFonts w:hint="eastAsia"/>
        </w:rPr>
        <w:t>未来基金</w:t>
      </w:r>
      <w:r>
        <w:t>按照</w:t>
      </w:r>
      <w:r>
        <w:rPr>
          <w:rFonts w:hint="eastAsia"/>
        </w:rPr>
        <w:t>其</w:t>
      </w:r>
      <w:r>
        <w:t>投资计划和资产标的将</w:t>
      </w:r>
      <w:r>
        <w:rPr>
          <w:rFonts w:hint="eastAsia"/>
        </w:rPr>
        <w:t>资金</w:t>
      </w:r>
      <w:r>
        <w:t>分配给不同的投资管理人进行投资</w:t>
      </w:r>
      <w:r>
        <w:rPr>
          <w:rFonts w:hint="eastAsia"/>
        </w:rPr>
        <w:t>。</w:t>
      </w:r>
      <w:r>
        <w:t>每个投资管理人只负责</w:t>
      </w:r>
      <w:r>
        <w:rPr>
          <w:rFonts w:hint="eastAsia"/>
        </w:rPr>
        <w:t>在</w:t>
      </w:r>
      <w:r>
        <w:t>其</w:t>
      </w:r>
      <w:r>
        <w:rPr>
          <w:rFonts w:hint="eastAsia"/>
        </w:rPr>
        <w:t>投资工具</w:t>
      </w:r>
      <w:r>
        <w:t>范围内选择具体</w:t>
      </w:r>
      <w:r>
        <w:rPr>
          <w:rFonts w:hint="eastAsia"/>
        </w:rPr>
        <w:t>标的进行</w:t>
      </w:r>
      <w:r>
        <w:t>投资，</w:t>
      </w:r>
      <w:r>
        <w:rPr>
          <w:rFonts w:hint="eastAsia"/>
        </w:rPr>
        <w:t>不</w:t>
      </w:r>
      <w:r>
        <w:t>进行</w:t>
      </w:r>
      <w:r>
        <w:rPr>
          <w:rFonts w:hint="eastAsia"/>
        </w:rPr>
        <w:t>战略资产</w:t>
      </w:r>
      <w:r>
        <w:t>配置</w:t>
      </w:r>
      <w:r w:rsidR="005B5276">
        <w:rPr>
          <w:rFonts w:hint="eastAsia"/>
        </w:rPr>
        <w:t>（见表</w:t>
      </w:r>
      <w:r w:rsidR="005B5276">
        <w:rPr>
          <w:rFonts w:hint="eastAsia"/>
        </w:rPr>
        <w:t>11</w:t>
      </w:r>
      <w:r w:rsidR="005B5276">
        <w:rPr>
          <w:rFonts w:hint="eastAsia"/>
        </w:rPr>
        <w:t>）</w:t>
      </w:r>
      <w:r>
        <w:t>。</w:t>
      </w:r>
    </w:p>
    <w:p w:rsidR="005B5276" w:rsidRDefault="005B5276" w:rsidP="00356A63"/>
    <w:p w:rsidR="000D140E" w:rsidRDefault="000D140E" w:rsidP="004002FA">
      <w:pPr>
        <w:pStyle w:val="af"/>
        <w:keepNext/>
        <w:jc w:val="center"/>
      </w:pPr>
      <w:r>
        <w:rPr>
          <w:rFonts w:hint="eastAsia"/>
        </w:rPr>
        <w:t>表</w:t>
      </w:r>
      <w:r>
        <w:rPr>
          <w:rFonts w:hint="eastAsia"/>
        </w:rPr>
        <w:t xml:space="preserve"> </w:t>
      </w:r>
      <w:r w:rsidR="009D2541">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9D2541">
        <w:fldChar w:fldCharType="separate"/>
      </w:r>
      <w:r w:rsidR="003559DA">
        <w:rPr>
          <w:noProof/>
        </w:rPr>
        <w:t>1</w:t>
      </w:r>
      <w:r w:rsidR="005B5276">
        <w:rPr>
          <w:rFonts w:hint="eastAsia"/>
          <w:noProof/>
        </w:rPr>
        <w:t>1</w:t>
      </w:r>
      <w:r w:rsidR="009D2541">
        <w:fldChar w:fldCharType="end"/>
      </w:r>
      <w:r>
        <w:t xml:space="preserve"> </w:t>
      </w:r>
      <w:r>
        <w:rPr>
          <w:rFonts w:hint="eastAsia"/>
        </w:rPr>
        <w:t>澳大利亚未来基金投资管理人分布</w:t>
      </w:r>
    </w:p>
    <w:p w:rsidR="00610A6A" w:rsidRPr="00610A6A" w:rsidRDefault="00610A6A" w:rsidP="00610A6A">
      <w:pPr>
        <w:jc w:val="right"/>
      </w:pPr>
      <w:r>
        <w:rPr>
          <w:rFonts w:hint="eastAsia"/>
        </w:rPr>
        <w:t>单位：家</w:t>
      </w:r>
    </w:p>
    <w:tbl>
      <w:tblPr>
        <w:tblStyle w:val="31"/>
        <w:tblW w:w="4094" w:type="dxa"/>
        <w:jc w:val="center"/>
        <w:tblLook w:val="04A0"/>
      </w:tblPr>
      <w:tblGrid>
        <w:gridCol w:w="2274"/>
        <w:gridCol w:w="1820"/>
      </w:tblGrid>
      <w:tr w:rsidR="00D5791A" w:rsidRPr="00163F53" w:rsidTr="005B5276">
        <w:trPr>
          <w:cnfStyle w:val="100000000000"/>
          <w:trHeight w:val="315"/>
          <w:jc w:val="center"/>
        </w:trPr>
        <w:tc>
          <w:tcPr>
            <w:cnfStyle w:val="001000000100"/>
            <w:tcW w:w="2274" w:type="dxa"/>
            <w:noWrap/>
            <w:hideMark/>
          </w:tcPr>
          <w:p w:rsidR="00D5791A" w:rsidRPr="00163F53" w:rsidRDefault="00D5791A" w:rsidP="002E21F2">
            <w:pPr>
              <w:widowControl/>
              <w:jc w:val="left"/>
              <w:rPr>
                <w:rFonts w:ascii="宋体" w:eastAsia="宋体" w:hAnsi="宋体" w:cs="宋体"/>
                <w:color w:val="000000"/>
                <w:kern w:val="0"/>
                <w:sz w:val="22"/>
              </w:rPr>
            </w:pPr>
            <w:r w:rsidRPr="00163F53">
              <w:rPr>
                <w:rFonts w:ascii="宋体" w:eastAsia="宋体" w:hAnsi="宋体" w:cs="宋体" w:hint="eastAsia"/>
                <w:color w:val="000000"/>
                <w:kern w:val="0"/>
                <w:sz w:val="22"/>
              </w:rPr>
              <w:t>资产类别</w:t>
            </w:r>
          </w:p>
        </w:tc>
        <w:tc>
          <w:tcPr>
            <w:tcW w:w="1820" w:type="dxa"/>
            <w:noWrap/>
            <w:hideMark/>
          </w:tcPr>
          <w:p w:rsidR="00D5791A" w:rsidRPr="00163F53" w:rsidRDefault="00D5791A" w:rsidP="00D5791A">
            <w:pPr>
              <w:widowControl/>
              <w:jc w:val="center"/>
              <w:cnfStyle w:val="100000000000"/>
              <w:rPr>
                <w:rFonts w:ascii="宋体" w:eastAsia="宋体" w:hAnsi="宋体" w:cs="宋体"/>
                <w:color w:val="000000"/>
                <w:kern w:val="0"/>
                <w:sz w:val="22"/>
              </w:rPr>
            </w:pPr>
            <w:r w:rsidRPr="00163F53">
              <w:rPr>
                <w:rFonts w:ascii="宋体" w:eastAsia="宋体" w:hAnsi="宋体" w:cs="宋体" w:hint="eastAsia"/>
                <w:color w:val="000000"/>
                <w:kern w:val="0"/>
                <w:sz w:val="22"/>
              </w:rPr>
              <w:t>投资管理人数量</w:t>
            </w:r>
          </w:p>
        </w:tc>
      </w:tr>
      <w:tr w:rsidR="00D5791A" w:rsidRPr="00163F53" w:rsidTr="005B5276">
        <w:trPr>
          <w:cnfStyle w:val="000000100000"/>
          <w:trHeight w:val="285"/>
          <w:jc w:val="center"/>
        </w:trPr>
        <w:tc>
          <w:tcPr>
            <w:cnfStyle w:val="001000000000"/>
            <w:tcW w:w="2274" w:type="dxa"/>
            <w:tcBorders>
              <w:top w:val="single" w:sz="4" w:space="0" w:color="7F7F7F" w:themeColor="text1" w:themeTint="80"/>
            </w:tcBorders>
            <w:shd w:val="clear" w:color="auto" w:fill="auto"/>
            <w:noWrap/>
            <w:hideMark/>
          </w:tcPr>
          <w:p w:rsidR="00D5791A" w:rsidRPr="00163F53" w:rsidRDefault="00D5791A" w:rsidP="002E21F2">
            <w:pPr>
              <w:widowControl/>
              <w:jc w:val="left"/>
              <w:rPr>
                <w:rFonts w:ascii="宋体" w:eastAsia="宋体" w:hAnsi="宋体" w:cs="宋体"/>
                <w:color w:val="000000"/>
                <w:kern w:val="0"/>
                <w:sz w:val="22"/>
              </w:rPr>
            </w:pPr>
            <w:r w:rsidRPr="00163F53">
              <w:rPr>
                <w:rFonts w:ascii="宋体" w:eastAsia="宋体" w:hAnsi="宋体" w:cs="宋体" w:hint="eastAsia"/>
                <w:color w:val="000000"/>
                <w:kern w:val="0"/>
                <w:sz w:val="22"/>
              </w:rPr>
              <w:t>股票</w:t>
            </w:r>
          </w:p>
        </w:tc>
        <w:tc>
          <w:tcPr>
            <w:tcW w:w="1820" w:type="dxa"/>
            <w:tcBorders>
              <w:top w:val="single" w:sz="4" w:space="0" w:color="7F7F7F" w:themeColor="text1" w:themeTint="80"/>
            </w:tcBorders>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9</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澳大利亚股票</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1</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发达国家股票</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4</w:t>
            </w:r>
          </w:p>
        </w:tc>
      </w:tr>
      <w:tr w:rsidR="00D5791A" w:rsidRPr="00163F53" w:rsidTr="005B5276">
        <w:trPr>
          <w:trHeight w:val="300"/>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新兴国家股票</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4</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jc w:val="left"/>
              <w:rPr>
                <w:rFonts w:ascii="宋体" w:eastAsia="宋体" w:hAnsi="宋体" w:cs="宋体"/>
                <w:color w:val="000000"/>
                <w:kern w:val="0"/>
                <w:sz w:val="22"/>
              </w:rPr>
            </w:pPr>
            <w:r w:rsidRPr="00163F53">
              <w:rPr>
                <w:rFonts w:ascii="宋体" w:eastAsia="宋体" w:hAnsi="宋体" w:cs="宋体" w:hint="eastAsia"/>
                <w:color w:val="000000"/>
                <w:kern w:val="0"/>
                <w:sz w:val="22"/>
              </w:rPr>
              <w:t>私募股权</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31</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买断</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13</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风险投资</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14</w:t>
            </w:r>
          </w:p>
        </w:tc>
      </w:tr>
      <w:tr w:rsidR="00D5791A" w:rsidRPr="00163F53" w:rsidTr="005B5276">
        <w:trPr>
          <w:trHeight w:val="300"/>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特别机会投资</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4</w:t>
            </w:r>
          </w:p>
        </w:tc>
      </w:tr>
      <w:tr w:rsidR="00D5791A" w:rsidRPr="00163F53" w:rsidTr="005B5276">
        <w:trPr>
          <w:cnfStyle w:val="000000100000"/>
          <w:trHeight w:val="360"/>
          <w:jc w:val="center"/>
        </w:trPr>
        <w:tc>
          <w:tcPr>
            <w:cnfStyle w:val="001000000000"/>
            <w:tcW w:w="2274" w:type="dxa"/>
            <w:shd w:val="clear" w:color="auto" w:fill="auto"/>
            <w:noWrap/>
            <w:hideMark/>
          </w:tcPr>
          <w:p w:rsidR="00D5791A" w:rsidRPr="00163F53" w:rsidRDefault="00D5791A" w:rsidP="002E21F2">
            <w:pPr>
              <w:widowControl/>
              <w:jc w:val="left"/>
              <w:rPr>
                <w:rFonts w:ascii="宋体" w:eastAsia="宋体" w:hAnsi="宋体" w:cs="宋体"/>
                <w:color w:val="000000"/>
                <w:kern w:val="0"/>
                <w:sz w:val="22"/>
              </w:rPr>
            </w:pPr>
            <w:r w:rsidRPr="00163F53">
              <w:rPr>
                <w:rFonts w:ascii="宋体" w:eastAsia="宋体" w:hAnsi="宋体" w:cs="宋体" w:hint="eastAsia"/>
                <w:color w:val="000000"/>
                <w:kern w:val="0"/>
                <w:sz w:val="22"/>
              </w:rPr>
              <w:t>房地产</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18</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非上市</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14</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上市</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1</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jc w:val="left"/>
              <w:rPr>
                <w:rFonts w:ascii="宋体" w:eastAsia="宋体" w:hAnsi="宋体" w:cs="宋体"/>
                <w:color w:val="000000"/>
                <w:kern w:val="0"/>
                <w:sz w:val="22"/>
              </w:rPr>
            </w:pPr>
            <w:r w:rsidRPr="00163F53">
              <w:rPr>
                <w:rFonts w:ascii="宋体" w:eastAsia="宋体" w:hAnsi="宋体" w:cs="宋体" w:hint="eastAsia"/>
                <w:color w:val="000000"/>
                <w:kern w:val="0"/>
                <w:sz w:val="22"/>
              </w:rPr>
              <w:t>基建与农林</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10</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非上市</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9</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上市</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1</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债权</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18</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高评级</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5</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高收益</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10</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不良债权</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3</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jc w:val="left"/>
              <w:rPr>
                <w:rFonts w:ascii="宋体" w:eastAsia="宋体" w:hAnsi="宋体" w:cs="宋体"/>
                <w:color w:val="000000"/>
                <w:kern w:val="0"/>
                <w:sz w:val="22"/>
              </w:rPr>
            </w:pPr>
            <w:r w:rsidRPr="00163F53">
              <w:rPr>
                <w:rFonts w:ascii="宋体" w:eastAsia="宋体" w:hAnsi="宋体" w:cs="宋体" w:hint="eastAsia"/>
                <w:color w:val="000000"/>
                <w:kern w:val="0"/>
                <w:sz w:val="22"/>
              </w:rPr>
              <w:t>另类投资</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31</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多策略/相对价值</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5</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宏观驱动</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12</w:t>
            </w:r>
          </w:p>
        </w:tc>
      </w:tr>
      <w:tr w:rsidR="00D5791A" w:rsidRPr="00163F53" w:rsidTr="005B5276">
        <w:trPr>
          <w:trHeight w:val="300"/>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另类风险溢价</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4</w:t>
            </w:r>
          </w:p>
        </w:tc>
      </w:tr>
      <w:tr w:rsidR="00D5791A" w:rsidRPr="00163F53" w:rsidTr="005B5276">
        <w:trPr>
          <w:cnfStyle w:val="000000100000"/>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lastRenderedPageBreak/>
              <w:t>重叠策略</w:t>
            </w:r>
          </w:p>
        </w:tc>
        <w:tc>
          <w:tcPr>
            <w:tcW w:w="1820" w:type="dxa"/>
            <w:shd w:val="clear" w:color="auto" w:fill="auto"/>
            <w:noWrap/>
            <w:hideMark/>
          </w:tcPr>
          <w:p w:rsidR="00D5791A" w:rsidRPr="00163F53" w:rsidRDefault="00D5791A" w:rsidP="002E21F2">
            <w:pPr>
              <w:widowControl/>
              <w:jc w:val="right"/>
              <w:cnfStyle w:val="000000100000"/>
              <w:rPr>
                <w:rFonts w:ascii="宋体" w:eastAsia="宋体" w:hAnsi="宋体" w:cs="宋体"/>
                <w:color w:val="000000"/>
                <w:kern w:val="0"/>
                <w:sz w:val="22"/>
              </w:rPr>
            </w:pPr>
            <w:r w:rsidRPr="00163F53">
              <w:rPr>
                <w:rFonts w:ascii="宋体" w:eastAsia="宋体" w:hAnsi="宋体" w:cs="宋体" w:hint="eastAsia"/>
                <w:color w:val="000000"/>
                <w:kern w:val="0"/>
                <w:sz w:val="22"/>
              </w:rPr>
              <w:t>7</w:t>
            </w:r>
          </w:p>
        </w:tc>
      </w:tr>
      <w:tr w:rsidR="00D5791A" w:rsidRPr="00163F53" w:rsidTr="005B5276">
        <w:trPr>
          <w:trHeight w:val="285"/>
          <w:jc w:val="center"/>
        </w:trPr>
        <w:tc>
          <w:tcPr>
            <w:cnfStyle w:val="001000000000"/>
            <w:tcW w:w="2274" w:type="dxa"/>
            <w:shd w:val="clear" w:color="auto" w:fill="auto"/>
            <w:noWrap/>
            <w:hideMark/>
          </w:tcPr>
          <w:p w:rsidR="00D5791A" w:rsidRPr="00163F53" w:rsidRDefault="00D5791A" w:rsidP="002E21F2">
            <w:pPr>
              <w:widowControl/>
              <w:ind w:firstLineChars="100" w:firstLine="220"/>
              <w:jc w:val="left"/>
              <w:rPr>
                <w:rFonts w:ascii="宋体" w:eastAsia="宋体" w:hAnsi="宋体" w:cs="宋体"/>
                <w:b w:val="0"/>
                <w:color w:val="000000"/>
                <w:kern w:val="0"/>
                <w:sz w:val="22"/>
              </w:rPr>
            </w:pPr>
            <w:r w:rsidRPr="00163F53">
              <w:rPr>
                <w:rFonts w:ascii="宋体" w:eastAsia="宋体" w:hAnsi="宋体" w:cs="宋体" w:hint="eastAsia"/>
                <w:b w:val="0"/>
                <w:color w:val="000000"/>
                <w:kern w:val="0"/>
                <w:sz w:val="22"/>
              </w:rPr>
              <w:t>现金</w:t>
            </w:r>
          </w:p>
        </w:tc>
        <w:tc>
          <w:tcPr>
            <w:tcW w:w="1820" w:type="dxa"/>
            <w:shd w:val="clear" w:color="auto" w:fill="auto"/>
            <w:noWrap/>
            <w:hideMark/>
          </w:tcPr>
          <w:p w:rsidR="00D5791A" w:rsidRPr="00163F53" w:rsidRDefault="00D5791A" w:rsidP="002E21F2">
            <w:pPr>
              <w:widowControl/>
              <w:jc w:val="right"/>
              <w:cnfStyle w:val="000000000000"/>
              <w:rPr>
                <w:rFonts w:ascii="宋体" w:eastAsia="宋体" w:hAnsi="宋体" w:cs="宋体"/>
                <w:color w:val="000000"/>
                <w:kern w:val="0"/>
                <w:sz w:val="22"/>
              </w:rPr>
            </w:pPr>
            <w:r w:rsidRPr="00163F53">
              <w:rPr>
                <w:rFonts w:ascii="宋体" w:eastAsia="宋体" w:hAnsi="宋体" w:cs="宋体" w:hint="eastAsia"/>
                <w:color w:val="000000"/>
                <w:kern w:val="0"/>
                <w:sz w:val="22"/>
              </w:rPr>
              <w:t>3</w:t>
            </w:r>
          </w:p>
        </w:tc>
      </w:tr>
    </w:tbl>
    <w:p w:rsidR="00356A63" w:rsidRDefault="00610A6A" w:rsidP="00356A63">
      <w:r>
        <w:rPr>
          <w:rFonts w:hint="eastAsia"/>
        </w:rPr>
        <w:t>资料</w:t>
      </w:r>
      <w:r w:rsidR="00D5791A">
        <w:rPr>
          <w:rFonts w:hint="eastAsia"/>
        </w:rPr>
        <w:t>来源</w:t>
      </w:r>
      <w:r w:rsidR="00D5791A">
        <w:t>：</w:t>
      </w:r>
      <w:r w:rsidR="00CE65B3">
        <w:t>Future Fund Annual Report 2016-17</w:t>
      </w:r>
      <w:r>
        <w:rPr>
          <w:rFonts w:hint="eastAsia"/>
        </w:rPr>
        <w:t>。</w:t>
      </w:r>
    </w:p>
    <w:p w:rsidR="00356A63" w:rsidRPr="006C4ED4" w:rsidRDefault="00610A6A" w:rsidP="006C4ED4">
      <w:pPr>
        <w:pStyle w:val="2"/>
        <w:rPr>
          <w:sz w:val="28"/>
          <w:szCs w:val="28"/>
        </w:rPr>
      </w:pPr>
      <w:r w:rsidRPr="00610A6A">
        <w:rPr>
          <w:rFonts w:hint="eastAsia"/>
          <w:b w:val="0"/>
          <w:bCs w:val="0"/>
        </w:rPr>
        <w:t>（二）</w:t>
      </w:r>
      <w:r w:rsidR="00356A63" w:rsidRPr="00610A6A">
        <w:rPr>
          <w:b w:val="0"/>
          <w:bCs w:val="0"/>
        </w:rPr>
        <w:t xml:space="preserve"> </w:t>
      </w:r>
      <w:r w:rsidR="00356A63" w:rsidRPr="006C4ED4">
        <w:rPr>
          <w:rFonts w:hint="eastAsia"/>
          <w:sz w:val="28"/>
          <w:szCs w:val="28"/>
        </w:rPr>
        <w:t>澳大利亚</w:t>
      </w:r>
      <w:r w:rsidR="00356A63" w:rsidRPr="006C4ED4">
        <w:rPr>
          <w:sz w:val="28"/>
          <w:szCs w:val="28"/>
        </w:rPr>
        <w:t>未来基金的投资</w:t>
      </w:r>
      <w:r w:rsidR="00356A63" w:rsidRPr="006C4ED4">
        <w:rPr>
          <w:rFonts w:hint="eastAsia"/>
          <w:sz w:val="28"/>
          <w:szCs w:val="28"/>
        </w:rPr>
        <w:t>管理</w:t>
      </w:r>
    </w:p>
    <w:p w:rsidR="00356A63" w:rsidRDefault="00356A63" w:rsidP="00356A63">
      <w:r>
        <w:rPr>
          <w:rFonts w:hint="eastAsia"/>
        </w:rPr>
        <w:t>澳大利亚</w:t>
      </w:r>
      <w:r>
        <w:t>未来基金的投资</w:t>
      </w:r>
      <w:r>
        <w:rPr>
          <w:rFonts w:hint="eastAsia"/>
        </w:rPr>
        <w:t>目标</w:t>
      </w:r>
      <w:r>
        <w:t>由澳大利亚政府以法律的形式确定，投资管理由未来基金管理委员会完全负责</w:t>
      </w:r>
      <w:r>
        <w:rPr>
          <w:rFonts w:hint="eastAsia"/>
        </w:rPr>
        <w:t>。截至</w:t>
      </w:r>
      <w:r>
        <w:rPr>
          <w:rFonts w:hint="eastAsia"/>
        </w:rPr>
        <w:t>2017</w:t>
      </w:r>
      <w:r>
        <w:rPr>
          <w:rFonts w:hint="eastAsia"/>
        </w:rPr>
        <w:t>年</w:t>
      </w:r>
      <w:r>
        <w:rPr>
          <w:rFonts w:hint="eastAsia"/>
        </w:rPr>
        <w:t>6</w:t>
      </w:r>
      <w:r>
        <w:rPr>
          <w:rFonts w:hint="eastAsia"/>
        </w:rPr>
        <w:t>月</w:t>
      </w:r>
      <w:r w:rsidR="00A3596D">
        <w:rPr>
          <w:rFonts w:hint="eastAsia"/>
        </w:rPr>
        <w:t>，</w:t>
      </w:r>
      <w:r>
        <w:t>基金的投资目标是</w:t>
      </w:r>
      <w:r>
        <w:rPr>
          <w:rFonts w:hint="eastAsia"/>
        </w:rPr>
        <w:t>在</w:t>
      </w:r>
      <w:r>
        <w:t>可控的风险范围</w:t>
      </w:r>
      <w:r w:rsidR="0024265D">
        <w:rPr>
          <w:rFonts w:hint="eastAsia"/>
        </w:rPr>
        <w:t>（见表</w:t>
      </w:r>
      <w:r w:rsidR="0024265D">
        <w:rPr>
          <w:rFonts w:hint="eastAsia"/>
        </w:rPr>
        <w:t>12</w:t>
      </w:r>
      <w:r w:rsidR="0024265D">
        <w:rPr>
          <w:rFonts w:hint="eastAsia"/>
        </w:rPr>
        <w:t>）</w:t>
      </w:r>
      <w:r>
        <w:t>内保持基金的</w:t>
      </w:r>
      <w:r>
        <w:rPr>
          <w:rFonts w:hint="eastAsia"/>
        </w:rPr>
        <w:t>长期</w:t>
      </w:r>
      <w:r>
        <w:t>的</w:t>
      </w:r>
      <w:r>
        <w:rPr>
          <w:rFonts w:hint="eastAsia"/>
        </w:rPr>
        <w:t>年均</w:t>
      </w:r>
      <w:r>
        <w:t>收益</w:t>
      </w:r>
      <w:r>
        <w:rPr>
          <w:rFonts w:hint="eastAsia"/>
        </w:rPr>
        <w:t>超过</w:t>
      </w:r>
      <w:r>
        <w:t>CPI</w:t>
      </w:r>
      <w:r>
        <w:t>水平的</w:t>
      </w:r>
      <w:r>
        <w:rPr>
          <w:rFonts w:hint="eastAsia"/>
        </w:rPr>
        <w:t>4.5</w:t>
      </w:r>
      <w:r>
        <w:t>%</w:t>
      </w:r>
      <w:r w:rsidR="0024265D">
        <w:rPr>
          <w:rFonts w:hint="eastAsia"/>
        </w:rPr>
        <w:t>~</w:t>
      </w:r>
      <w:r>
        <w:rPr>
          <w:rFonts w:hint="eastAsia"/>
        </w:rPr>
        <w:t>5.5</w:t>
      </w:r>
      <w:r>
        <w:t>%</w:t>
      </w:r>
      <w:r>
        <w:rPr>
          <w:rFonts w:hint="eastAsia"/>
        </w:rPr>
        <w:t>。</w:t>
      </w:r>
      <w:r>
        <w:rPr>
          <w:rFonts w:hint="eastAsia"/>
        </w:rPr>
        <w:t>2017</w:t>
      </w:r>
      <w:r>
        <w:rPr>
          <w:rFonts w:hint="eastAsia"/>
        </w:rPr>
        <w:t>年</w:t>
      </w:r>
      <w:r>
        <w:rPr>
          <w:rFonts w:hint="eastAsia"/>
        </w:rPr>
        <w:t>7</w:t>
      </w:r>
      <w:r>
        <w:rPr>
          <w:rFonts w:hint="eastAsia"/>
        </w:rPr>
        <w:t>月</w:t>
      </w:r>
      <w:r>
        <w:rPr>
          <w:rFonts w:hint="eastAsia"/>
        </w:rPr>
        <w:t>1</w:t>
      </w:r>
      <w:r>
        <w:rPr>
          <w:rFonts w:hint="eastAsia"/>
        </w:rPr>
        <w:t>日</w:t>
      </w:r>
      <w:r>
        <w:t>起</w:t>
      </w:r>
      <w:r>
        <w:rPr>
          <w:rFonts w:hint="eastAsia"/>
        </w:rPr>
        <w:t>，由于</w:t>
      </w:r>
      <w:r>
        <w:t>投资环境的改变</w:t>
      </w:r>
      <w:r>
        <w:rPr>
          <w:rFonts w:hint="eastAsia"/>
        </w:rPr>
        <w:t>，长期</w:t>
      </w:r>
      <w:r>
        <w:t>投资目标</w:t>
      </w:r>
      <w:r w:rsidR="00FD4267">
        <w:t>下</w:t>
      </w:r>
      <w:r w:rsidR="00FD4267">
        <w:rPr>
          <w:rFonts w:hint="eastAsia"/>
        </w:rPr>
        <w:t>调</w:t>
      </w:r>
      <w:r>
        <w:t>为超过</w:t>
      </w:r>
      <w:r>
        <w:t>CPI</w:t>
      </w:r>
      <w:r>
        <w:t>水平的</w:t>
      </w:r>
      <w:r>
        <w:rPr>
          <w:rFonts w:hint="eastAsia"/>
        </w:rPr>
        <w:t>4</w:t>
      </w:r>
      <w:r>
        <w:t>%</w:t>
      </w:r>
      <w:r w:rsidR="0024265D">
        <w:rPr>
          <w:rFonts w:hint="eastAsia"/>
        </w:rPr>
        <w:t>~</w:t>
      </w:r>
      <w:r>
        <w:rPr>
          <w:rFonts w:hint="eastAsia"/>
        </w:rPr>
        <w:t>5</w:t>
      </w:r>
      <w:r>
        <w:t>%</w:t>
      </w:r>
      <w:r>
        <w:rPr>
          <w:rFonts w:hint="eastAsia"/>
        </w:rPr>
        <w:t>，</w:t>
      </w:r>
      <w:r>
        <w:t>同时将</w:t>
      </w:r>
      <w:r>
        <w:rPr>
          <w:rFonts w:hint="eastAsia"/>
        </w:rPr>
        <w:t>基金</w:t>
      </w:r>
      <w:r>
        <w:t>支取的期限由</w:t>
      </w:r>
      <w:r>
        <w:rPr>
          <w:rFonts w:hint="eastAsia"/>
        </w:rPr>
        <w:t>2020</w:t>
      </w:r>
      <w:r>
        <w:rPr>
          <w:rFonts w:hint="eastAsia"/>
        </w:rPr>
        <w:t>年</w:t>
      </w:r>
      <w:r>
        <w:rPr>
          <w:rFonts w:hint="eastAsia"/>
        </w:rPr>
        <w:t>7</w:t>
      </w:r>
      <w:r>
        <w:rPr>
          <w:rFonts w:hint="eastAsia"/>
        </w:rPr>
        <w:t>月</w:t>
      </w:r>
      <w:r>
        <w:rPr>
          <w:rFonts w:hint="eastAsia"/>
        </w:rPr>
        <w:t>1</w:t>
      </w:r>
      <w:r>
        <w:rPr>
          <w:rFonts w:hint="eastAsia"/>
        </w:rPr>
        <w:t>日</w:t>
      </w:r>
      <w:r>
        <w:t>延长到</w:t>
      </w:r>
      <w:r>
        <w:rPr>
          <w:rFonts w:hint="eastAsia"/>
        </w:rPr>
        <w:t>大约</w:t>
      </w:r>
      <w:r>
        <w:rPr>
          <w:rFonts w:hint="eastAsia"/>
        </w:rPr>
        <w:t>2026</w:t>
      </w:r>
      <w:r w:rsidR="0024265D">
        <w:rPr>
          <w:rFonts w:hint="eastAsia"/>
        </w:rPr>
        <w:t>~</w:t>
      </w:r>
      <w:r>
        <w:rPr>
          <w:rFonts w:hint="eastAsia"/>
        </w:rPr>
        <w:t>2027</w:t>
      </w:r>
      <w:r>
        <w:rPr>
          <w:rFonts w:hint="eastAsia"/>
        </w:rPr>
        <w:t>年。</w:t>
      </w:r>
    </w:p>
    <w:p w:rsidR="0035189F" w:rsidRDefault="0035189F" w:rsidP="00356A63"/>
    <w:p w:rsidR="0035189F" w:rsidRDefault="0035189F" w:rsidP="0035189F">
      <w:pPr>
        <w:pStyle w:val="af"/>
        <w:keepNext/>
        <w:jc w:val="center"/>
      </w:pPr>
      <w:r>
        <w:rPr>
          <w:rFonts w:hint="eastAsia"/>
        </w:rPr>
        <w:t>表</w:t>
      </w:r>
      <w:r>
        <w:rPr>
          <w:rFonts w:hint="eastAsia"/>
        </w:rPr>
        <w:t xml:space="preserve"> </w:t>
      </w:r>
      <w:r w:rsidR="009D2541">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9D2541">
        <w:fldChar w:fldCharType="separate"/>
      </w:r>
      <w:r>
        <w:rPr>
          <w:noProof/>
        </w:rPr>
        <w:t>1</w:t>
      </w:r>
      <w:r>
        <w:rPr>
          <w:rFonts w:hint="eastAsia"/>
          <w:noProof/>
        </w:rPr>
        <w:t>2</w:t>
      </w:r>
      <w:r w:rsidR="009D2541">
        <w:fldChar w:fldCharType="end"/>
      </w:r>
      <w:r>
        <w:rPr>
          <w:rFonts w:hint="eastAsia"/>
        </w:rPr>
        <w:t>澳大利亚未来</w:t>
      </w:r>
      <w:r>
        <w:t>基金</w:t>
      </w:r>
      <w:r>
        <w:rPr>
          <w:rFonts w:hint="eastAsia"/>
        </w:rPr>
        <w:t>投资范围</w:t>
      </w:r>
    </w:p>
    <w:tbl>
      <w:tblPr>
        <w:tblStyle w:val="ac"/>
        <w:tblW w:w="5273" w:type="pct"/>
        <w:jc w:val="center"/>
        <w:tblLook w:val="04A0"/>
      </w:tblPr>
      <w:tblGrid>
        <w:gridCol w:w="1743"/>
        <w:gridCol w:w="7244"/>
      </w:tblGrid>
      <w:tr w:rsidR="0035189F" w:rsidTr="00BD1A9A">
        <w:trPr>
          <w:jc w:val="center"/>
        </w:trPr>
        <w:tc>
          <w:tcPr>
            <w:tcW w:w="970" w:type="pct"/>
            <w:tcBorders>
              <w:bottom w:val="single" w:sz="4" w:space="0" w:color="auto"/>
            </w:tcBorders>
          </w:tcPr>
          <w:p w:rsidR="0035189F" w:rsidRPr="00BF3BEC" w:rsidRDefault="0035189F" w:rsidP="00BD1A9A">
            <w:pPr>
              <w:rPr>
                <w:b/>
              </w:rPr>
            </w:pPr>
            <w:r w:rsidRPr="00BF3BEC">
              <w:rPr>
                <w:rFonts w:hint="eastAsia"/>
                <w:b/>
              </w:rPr>
              <w:t>资产</w:t>
            </w:r>
            <w:r w:rsidRPr="00BF3BEC">
              <w:rPr>
                <w:b/>
              </w:rPr>
              <w:t>类别</w:t>
            </w:r>
          </w:p>
        </w:tc>
        <w:tc>
          <w:tcPr>
            <w:tcW w:w="4030" w:type="pct"/>
            <w:tcBorders>
              <w:bottom w:val="single" w:sz="4" w:space="0" w:color="auto"/>
            </w:tcBorders>
          </w:tcPr>
          <w:p w:rsidR="0035189F" w:rsidRPr="00BF3BEC" w:rsidRDefault="0035189F" w:rsidP="00BD1A9A">
            <w:pPr>
              <w:jc w:val="center"/>
              <w:rPr>
                <w:b/>
              </w:rPr>
            </w:pPr>
            <w:r w:rsidRPr="00BF3BEC">
              <w:rPr>
                <w:rFonts w:hint="eastAsia"/>
                <w:b/>
              </w:rPr>
              <w:t>投资</w:t>
            </w:r>
            <w:r w:rsidRPr="00BF3BEC">
              <w:rPr>
                <w:b/>
              </w:rPr>
              <w:t>范围</w:t>
            </w:r>
          </w:p>
        </w:tc>
      </w:tr>
      <w:tr w:rsidR="0035189F" w:rsidTr="00BD1A9A">
        <w:trPr>
          <w:jc w:val="center"/>
        </w:trPr>
        <w:tc>
          <w:tcPr>
            <w:tcW w:w="970" w:type="pct"/>
            <w:tcBorders>
              <w:bottom w:val="nil"/>
            </w:tcBorders>
          </w:tcPr>
          <w:p w:rsidR="0035189F" w:rsidRDefault="0035189F" w:rsidP="00BD1A9A">
            <w:r>
              <w:rPr>
                <w:rFonts w:hint="eastAsia"/>
              </w:rPr>
              <w:t>上市</w:t>
            </w:r>
            <w:r>
              <w:t>公司股票</w:t>
            </w:r>
          </w:p>
        </w:tc>
        <w:tc>
          <w:tcPr>
            <w:tcW w:w="4030" w:type="pct"/>
            <w:tcBorders>
              <w:bottom w:val="nil"/>
            </w:tcBorders>
          </w:tcPr>
          <w:p w:rsidR="0035189F" w:rsidRDefault="0035189F" w:rsidP="00BD1A9A">
            <w:r>
              <w:rPr>
                <w:rFonts w:hint="eastAsia"/>
              </w:rPr>
              <w:t>澳大利亚</w:t>
            </w:r>
            <w:r>
              <w:t>股票</w:t>
            </w:r>
            <w:r>
              <w:rPr>
                <w:rFonts w:hint="eastAsia"/>
              </w:rPr>
              <w:t>、</w:t>
            </w:r>
            <w:r>
              <w:t>新兴</w:t>
            </w:r>
            <w:r>
              <w:rPr>
                <w:rFonts w:hint="eastAsia"/>
              </w:rPr>
              <w:t>国家</w:t>
            </w:r>
            <w:r>
              <w:t>股票、发达国家股票</w:t>
            </w:r>
          </w:p>
        </w:tc>
      </w:tr>
      <w:tr w:rsidR="0035189F" w:rsidTr="00BD1A9A">
        <w:trPr>
          <w:jc w:val="center"/>
        </w:trPr>
        <w:tc>
          <w:tcPr>
            <w:tcW w:w="970" w:type="pct"/>
            <w:tcBorders>
              <w:top w:val="nil"/>
              <w:bottom w:val="nil"/>
            </w:tcBorders>
          </w:tcPr>
          <w:p w:rsidR="0035189F" w:rsidRDefault="0035189F" w:rsidP="00BD1A9A">
            <w:r>
              <w:rPr>
                <w:rFonts w:hint="eastAsia"/>
              </w:rPr>
              <w:t>私募股权</w:t>
            </w:r>
          </w:p>
        </w:tc>
        <w:tc>
          <w:tcPr>
            <w:tcW w:w="4030" w:type="pct"/>
            <w:tcBorders>
              <w:top w:val="nil"/>
              <w:bottom w:val="nil"/>
            </w:tcBorders>
          </w:tcPr>
          <w:p w:rsidR="0035189F" w:rsidRDefault="0035189F" w:rsidP="00BD1A9A">
            <w:r>
              <w:rPr>
                <w:rFonts w:hint="eastAsia"/>
              </w:rPr>
              <w:t>风险</w:t>
            </w:r>
            <w:r>
              <w:t>投资</w:t>
            </w:r>
            <w:r>
              <w:rPr>
                <w:rFonts w:hint="eastAsia"/>
              </w:rPr>
              <w:t>、</w:t>
            </w:r>
            <w:r>
              <w:t>成长</w:t>
            </w:r>
            <w:r>
              <w:rPr>
                <w:rFonts w:hint="eastAsia"/>
              </w:rPr>
              <w:t>性资产</w:t>
            </w:r>
            <w:r>
              <w:t>、买断、不良信贷</w:t>
            </w:r>
          </w:p>
        </w:tc>
      </w:tr>
      <w:tr w:rsidR="0035189F" w:rsidTr="00BD1A9A">
        <w:trPr>
          <w:jc w:val="center"/>
        </w:trPr>
        <w:tc>
          <w:tcPr>
            <w:tcW w:w="970" w:type="pct"/>
            <w:tcBorders>
              <w:top w:val="nil"/>
              <w:bottom w:val="nil"/>
            </w:tcBorders>
          </w:tcPr>
          <w:p w:rsidR="0035189F" w:rsidRDefault="0035189F" w:rsidP="00BD1A9A">
            <w:r>
              <w:rPr>
                <w:rFonts w:hint="eastAsia"/>
              </w:rPr>
              <w:t>有形资产</w:t>
            </w:r>
          </w:p>
        </w:tc>
        <w:tc>
          <w:tcPr>
            <w:tcW w:w="4030" w:type="pct"/>
            <w:tcBorders>
              <w:top w:val="nil"/>
              <w:bottom w:val="nil"/>
            </w:tcBorders>
          </w:tcPr>
          <w:p w:rsidR="0035189F" w:rsidRDefault="0035189F" w:rsidP="00BD1A9A">
            <w:r>
              <w:rPr>
                <w:rFonts w:hint="eastAsia"/>
              </w:rPr>
              <w:t>房地产</w:t>
            </w:r>
            <w:r>
              <w:t>、基建、</w:t>
            </w:r>
            <w:r>
              <w:rPr>
                <w:rFonts w:hint="eastAsia"/>
              </w:rPr>
              <w:t>公共</w:t>
            </w:r>
            <w:r>
              <w:t>事业、农林</w:t>
            </w:r>
            <w:r>
              <w:rPr>
                <w:rFonts w:hint="eastAsia"/>
              </w:rPr>
              <w:t>资产</w:t>
            </w:r>
          </w:p>
        </w:tc>
      </w:tr>
      <w:tr w:rsidR="0035189F" w:rsidTr="00BD1A9A">
        <w:trPr>
          <w:jc w:val="center"/>
        </w:trPr>
        <w:tc>
          <w:tcPr>
            <w:tcW w:w="970" w:type="pct"/>
            <w:tcBorders>
              <w:top w:val="nil"/>
              <w:bottom w:val="nil"/>
            </w:tcBorders>
          </w:tcPr>
          <w:p w:rsidR="0035189F" w:rsidRDefault="0035189F" w:rsidP="00BD1A9A">
            <w:r>
              <w:rPr>
                <w:rFonts w:hint="eastAsia"/>
              </w:rPr>
              <w:t>债券</w:t>
            </w:r>
          </w:p>
        </w:tc>
        <w:tc>
          <w:tcPr>
            <w:tcW w:w="4030" w:type="pct"/>
            <w:tcBorders>
              <w:top w:val="nil"/>
              <w:bottom w:val="nil"/>
            </w:tcBorders>
          </w:tcPr>
          <w:p w:rsidR="0035189F" w:rsidRDefault="0035189F" w:rsidP="00BD1A9A">
            <w:r>
              <w:rPr>
                <w:rFonts w:hint="eastAsia"/>
              </w:rPr>
              <w:t>抵押</w:t>
            </w:r>
            <w:r>
              <w:t>债、高评级的信用债</w:t>
            </w:r>
          </w:p>
        </w:tc>
      </w:tr>
      <w:tr w:rsidR="0035189F" w:rsidTr="00BD1A9A">
        <w:trPr>
          <w:jc w:val="center"/>
        </w:trPr>
        <w:tc>
          <w:tcPr>
            <w:tcW w:w="970" w:type="pct"/>
            <w:tcBorders>
              <w:top w:val="nil"/>
              <w:bottom w:val="nil"/>
            </w:tcBorders>
          </w:tcPr>
          <w:p w:rsidR="0035189F" w:rsidRDefault="0035189F" w:rsidP="00BD1A9A">
            <w:r>
              <w:rPr>
                <w:rFonts w:hint="eastAsia"/>
              </w:rPr>
              <w:t>另类</w:t>
            </w:r>
            <w:r>
              <w:t>资产</w:t>
            </w:r>
          </w:p>
        </w:tc>
        <w:tc>
          <w:tcPr>
            <w:tcW w:w="4030" w:type="pct"/>
            <w:tcBorders>
              <w:top w:val="nil"/>
              <w:bottom w:val="nil"/>
            </w:tcBorders>
          </w:tcPr>
          <w:p w:rsidR="0035189F" w:rsidRDefault="0035189F" w:rsidP="00BD1A9A">
            <w:r>
              <w:rPr>
                <w:rFonts w:hint="eastAsia"/>
              </w:rPr>
              <w:t>基于</w:t>
            </w:r>
            <w:r>
              <w:t>绝对</w:t>
            </w:r>
            <w:r>
              <w:rPr>
                <w:rFonts w:hint="eastAsia"/>
              </w:rPr>
              <w:t>收益策略</w:t>
            </w:r>
            <w:r>
              <w:t>和其他</w:t>
            </w:r>
            <w:r>
              <w:rPr>
                <w:rFonts w:hint="eastAsia"/>
              </w:rPr>
              <w:t>有</w:t>
            </w:r>
            <w:r>
              <w:t>风险溢价的现金流</w:t>
            </w:r>
          </w:p>
        </w:tc>
      </w:tr>
      <w:tr w:rsidR="0035189F" w:rsidTr="00BD1A9A">
        <w:trPr>
          <w:jc w:val="center"/>
        </w:trPr>
        <w:tc>
          <w:tcPr>
            <w:tcW w:w="970" w:type="pct"/>
            <w:tcBorders>
              <w:top w:val="nil"/>
              <w:bottom w:val="nil"/>
            </w:tcBorders>
          </w:tcPr>
          <w:p w:rsidR="0035189F" w:rsidRDefault="0035189F" w:rsidP="00BD1A9A">
            <w:r>
              <w:rPr>
                <w:rFonts w:hint="eastAsia"/>
              </w:rPr>
              <w:t>现金</w:t>
            </w:r>
          </w:p>
        </w:tc>
        <w:tc>
          <w:tcPr>
            <w:tcW w:w="4030" w:type="pct"/>
            <w:tcBorders>
              <w:top w:val="nil"/>
              <w:bottom w:val="nil"/>
            </w:tcBorders>
          </w:tcPr>
          <w:p w:rsidR="0035189F" w:rsidRDefault="0035189F" w:rsidP="00BD1A9A">
            <w:r>
              <w:rPr>
                <w:rFonts w:hint="eastAsia"/>
              </w:rPr>
              <w:t>国债</w:t>
            </w:r>
            <w:r>
              <w:t>，银行存单</w:t>
            </w:r>
          </w:p>
        </w:tc>
      </w:tr>
      <w:tr w:rsidR="0035189F" w:rsidTr="00BD1A9A">
        <w:trPr>
          <w:jc w:val="center"/>
        </w:trPr>
        <w:tc>
          <w:tcPr>
            <w:tcW w:w="970" w:type="pct"/>
            <w:tcBorders>
              <w:top w:val="nil"/>
            </w:tcBorders>
          </w:tcPr>
          <w:p w:rsidR="0035189F" w:rsidRDefault="0035189F" w:rsidP="00BD1A9A">
            <w:r>
              <w:rPr>
                <w:rFonts w:hint="eastAsia"/>
              </w:rPr>
              <w:t>组合</w:t>
            </w:r>
            <w:r>
              <w:t>投资</w:t>
            </w:r>
          </w:p>
        </w:tc>
        <w:tc>
          <w:tcPr>
            <w:tcW w:w="4030" w:type="pct"/>
            <w:tcBorders>
              <w:top w:val="nil"/>
            </w:tcBorders>
          </w:tcPr>
          <w:p w:rsidR="0035189F" w:rsidRDefault="0035189F" w:rsidP="00BD1A9A">
            <w:r>
              <w:rPr>
                <w:rFonts w:hint="eastAsia"/>
              </w:rPr>
              <w:t>上市</w:t>
            </w:r>
            <w:r>
              <w:t>股票、发达市场</w:t>
            </w:r>
            <w:r>
              <w:rPr>
                <w:rFonts w:hint="eastAsia"/>
              </w:rPr>
              <w:t>货币</w:t>
            </w:r>
            <w:r>
              <w:t>、新兴市场国币、国内和全球利率、</w:t>
            </w:r>
            <w:r>
              <w:rPr>
                <w:rFonts w:hint="eastAsia"/>
              </w:rPr>
              <w:t>以及</w:t>
            </w:r>
            <w:r>
              <w:t>对冲策略</w:t>
            </w:r>
          </w:p>
        </w:tc>
      </w:tr>
    </w:tbl>
    <w:p w:rsidR="0024265D" w:rsidRDefault="0024265D" w:rsidP="00356A63"/>
    <w:p w:rsidR="00356A63" w:rsidRDefault="00F34014" w:rsidP="00356A63">
      <w:r>
        <w:rPr>
          <w:rFonts w:hint="eastAsia"/>
        </w:rPr>
        <w:t>未来</w:t>
      </w:r>
      <w:r>
        <w:t>基金有一套具体的投资流程</w:t>
      </w:r>
      <w:r w:rsidR="00356A63">
        <w:rPr>
          <w:rFonts w:hint="eastAsia"/>
        </w:rPr>
        <w:t>：首先</w:t>
      </w:r>
      <w:r w:rsidR="00356A63">
        <w:t>，确定</w:t>
      </w:r>
      <w:r w:rsidR="00356A63">
        <w:rPr>
          <w:rFonts w:hint="eastAsia"/>
        </w:rPr>
        <w:t>投资</w:t>
      </w:r>
      <w:r w:rsidR="00356A63">
        <w:t>的目标和风险承受能力</w:t>
      </w:r>
      <w:r w:rsidR="00356A63">
        <w:rPr>
          <w:rFonts w:hint="eastAsia"/>
        </w:rPr>
        <w:t>，</w:t>
      </w:r>
      <w:r w:rsidR="00356A63">
        <w:t>以此来决定基金的</w:t>
      </w:r>
      <w:r w:rsidR="00356A63">
        <w:rPr>
          <w:rFonts w:hint="eastAsia"/>
        </w:rPr>
        <w:t>投资</w:t>
      </w:r>
      <w:r w:rsidR="00356A63">
        <w:t>风格和风险水平</w:t>
      </w:r>
      <w:r w:rsidR="00356A63">
        <w:rPr>
          <w:rFonts w:hint="eastAsia"/>
        </w:rPr>
        <w:t>。</w:t>
      </w:r>
      <w:r w:rsidR="0024265D">
        <w:rPr>
          <w:rFonts w:hint="eastAsia"/>
        </w:rPr>
        <w:t>其次，</w:t>
      </w:r>
      <w:r w:rsidR="00356A63">
        <w:rPr>
          <w:rFonts w:hint="eastAsia"/>
        </w:rPr>
        <w:t>分析</w:t>
      </w:r>
      <w:r w:rsidR="00356A63">
        <w:t>投资环境</w:t>
      </w:r>
      <w:r w:rsidR="00356A63">
        <w:rPr>
          <w:rFonts w:hint="eastAsia"/>
        </w:rPr>
        <w:t>，</w:t>
      </w:r>
      <w:r w:rsidR="00356A63">
        <w:t>考虑不同时期的</w:t>
      </w:r>
      <w:r w:rsidR="00356A63">
        <w:rPr>
          <w:rFonts w:hint="eastAsia"/>
        </w:rPr>
        <w:t>经济</w:t>
      </w:r>
      <w:r w:rsidR="00356A63">
        <w:t>环境进行场景分析，关注经济环境</w:t>
      </w:r>
      <w:r w:rsidR="00356A63">
        <w:rPr>
          <w:rFonts w:hint="eastAsia"/>
        </w:rPr>
        <w:t>和</w:t>
      </w:r>
      <w:r w:rsidR="00356A63">
        <w:t>投资收益情况，了解在不同情况下投资品的表现</w:t>
      </w:r>
      <w:r>
        <w:rPr>
          <w:rFonts w:hint="eastAsia"/>
        </w:rPr>
        <w:t>。</w:t>
      </w:r>
      <w:r w:rsidR="0024265D">
        <w:rPr>
          <w:rFonts w:hint="eastAsia"/>
        </w:rPr>
        <w:t>再次</w:t>
      </w:r>
      <w:r w:rsidR="00356A63">
        <w:rPr>
          <w:rFonts w:hint="eastAsia"/>
        </w:rPr>
        <w:t>是风险</w:t>
      </w:r>
      <w:r w:rsidR="00356A63">
        <w:t>管理，</w:t>
      </w:r>
      <w:r w:rsidR="00356A63">
        <w:rPr>
          <w:rFonts w:hint="eastAsia"/>
        </w:rPr>
        <w:t>建立</w:t>
      </w:r>
      <w:r w:rsidR="00356A63">
        <w:t>框架体系，确定基金的风险敞口，</w:t>
      </w:r>
      <w:r w:rsidR="00FD4267">
        <w:rPr>
          <w:rFonts w:hint="eastAsia"/>
        </w:rPr>
        <w:t>了解基金</w:t>
      </w:r>
      <w:r w:rsidR="00FD4267">
        <w:t>对</w:t>
      </w:r>
      <w:r w:rsidR="00356A63">
        <w:t>各类别风险的承受能力</w:t>
      </w:r>
      <w:r w:rsidR="00356A63">
        <w:rPr>
          <w:rFonts w:hint="eastAsia"/>
        </w:rPr>
        <w:t>，包括</w:t>
      </w:r>
      <w:r w:rsidR="00356A63">
        <w:t>流动性风险、投资</w:t>
      </w:r>
      <w:r w:rsidR="00356A63">
        <w:rPr>
          <w:rFonts w:hint="eastAsia"/>
        </w:rPr>
        <w:t>灵活性</w:t>
      </w:r>
      <w:r w:rsidR="00356A63">
        <w:t>、</w:t>
      </w:r>
      <w:r w:rsidR="00356A63">
        <w:rPr>
          <w:rFonts w:hint="eastAsia"/>
        </w:rPr>
        <w:t>汇率</w:t>
      </w:r>
      <w:r w:rsidR="00356A63">
        <w:t>风险等</w:t>
      </w:r>
      <w:r w:rsidR="00356A63">
        <w:rPr>
          <w:rFonts w:hint="eastAsia"/>
        </w:rPr>
        <w:t>，风险</w:t>
      </w:r>
      <w:r w:rsidR="00356A63">
        <w:t>管理主要</w:t>
      </w:r>
      <w:r w:rsidR="00FD4267">
        <w:rPr>
          <w:rFonts w:hint="eastAsia"/>
        </w:rPr>
        <w:t>是</w:t>
      </w:r>
      <w:r w:rsidR="00356A63">
        <w:t>对主要风险的识</w:t>
      </w:r>
      <w:r w:rsidR="00FD4267">
        <w:rPr>
          <w:rFonts w:hint="eastAsia"/>
        </w:rPr>
        <w:t>和</w:t>
      </w:r>
      <w:r w:rsidR="00356A63">
        <w:rPr>
          <w:rFonts w:hint="eastAsia"/>
        </w:rPr>
        <w:t>不同</w:t>
      </w:r>
      <w:r w:rsidR="00356A63">
        <w:t>风险的权衡</w:t>
      </w:r>
      <w:r w:rsidR="00356A63">
        <w:rPr>
          <w:rFonts w:hint="eastAsia"/>
        </w:rPr>
        <w:t>。</w:t>
      </w:r>
      <w:r w:rsidR="00356A63" w:rsidRPr="00D60854">
        <w:rPr>
          <w:rFonts w:hint="eastAsia"/>
        </w:rPr>
        <w:t>然后</w:t>
      </w:r>
      <w:r w:rsidR="00356A63">
        <w:rPr>
          <w:rFonts w:hint="eastAsia"/>
        </w:rPr>
        <w:t>进行风险预算</w:t>
      </w:r>
      <w:r w:rsidR="00356A63">
        <w:t>，根据已有的风险控制的框架，</w:t>
      </w:r>
      <w:r w:rsidR="00356A63">
        <w:rPr>
          <w:rFonts w:hint="eastAsia"/>
        </w:rPr>
        <w:t>为</w:t>
      </w:r>
      <w:r w:rsidR="00356A63">
        <w:t>基金选择合适的风险资产并</w:t>
      </w:r>
      <w:r w:rsidR="00356A63">
        <w:rPr>
          <w:rFonts w:hint="eastAsia"/>
        </w:rPr>
        <w:t>进行</w:t>
      </w:r>
      <w:r w:rsidR="00356A63">
        <w:t>动态调整</w:t>
      </w:r>
      <w:r w:rsidR="00356A63">
        <w:rPr>
          <w:rFonts w:hint="eastAsia"/>
        </w:rPr>
        <w:t>。</w:t>
      </w:r>
      <w:r w:rsidR="00356A63" w:rsidRPr="00D60854">
        <w:rPr>
          <w:rFonts w:hint="eastAsia"/>
        </w:rPr>
        <w:t>最后</w:t>
      </w:r>
      <w:r w:rsidR="00356A63">
        <w:t>是投资分析和选择</w:t>
      </w:r>
      <w:r w:rsidR="00356A63">
        <w:rPr>
          <w:rFonts w:hint="eastAsia"/>
        </w:rPr>
        <w:t>，</w:t>
      </w:r>
      <w:r w:rsidR="00356A63">
        <w:t>在确定了合适的风险预算</w:t>
      </w:r>
      <w:r w:rsidR="00356A63">
        <w:rPr>
          <w:rFonts w:hint="eastAsia"/>
        </w:rPr>
        <w:t>后</w:t>
      </w:r>
      <w:r w:rsidR="00356A63">
        <w:t>，</w:t>
      </w:r>
      <w:r w:rsidR="00356A63">
        <w:rPr>
          <w:rFonts w:hint="eastAsia"/>
        </w:rPr>
        <w:t>进行</w:t>
      </w:r>
      <w:r w:rsidR="00356A63">
        <w:t>实际</w:t>
      </w:r>
      <w:r w:rsidR="00CE65B3">
        <w:rPr>
          <w:rFonts w:hint="eastAsia"/>
        </w:rPr>
        <w:t>的</w:t>
      </w:r>
      <w:r w:rsidR="00356A63">
        <w:t>投资</w:t>
      </w:r>
      <w:r w:rsidR="00CE65B3">
        <w:rPr>
          <w:rFonts w:hint="eastAsia"/>
        </w:rPr>
        <w:t>操作</w:t>
      </w:r>
      <w:r w:rsidR="00356A63">
        <w:rPr>
          <w:rFonts w:hint="eastAsia"/>
        </w:rPr>
        <w:t>。</w:t>
      </w:r>
      <w:r w:rsidR="00356A63">
        <w:t>投资</w:t>
      </w:r>
      <w:r>
        <w:rPr>
          <w:rFonts w:hint="eastAsia"/>
        </w:rPr>
        <w:t>结果</w:t>
      </w:r>
      <w:r w:rsidR="00FD4267">
        <w:rPr>
          <w:rFonts w:hint="eastAsia"/>
        </w:rPr>
        <w:t>主要</w:t>
      </w:r>
      <w:r w:rsidR="00356A63">
        <w:rPr>
          <w:rFonts w:hint="eastAsia"/>
        </w:rPr>
        <w:t>受到经济</w:t>
      </w:r>
      <w:r w:rsidR="00356A63">
        <w:t>增长、通货膨胀</w:t>
      </w:r>
      <w:r w:rsidR="00356A63">
        <w:rPr>
          <w:rFonts w:hint="eastAsia"/>
        </w:rPr>
        <w:t>、</w:t>
      </w:r>
      <w:r w:rsidR="00356A63">
        <w:t>真实利率和风险溢价水平的影响</w:t>
      </w:r>
      <w:r>
        <w:rPr>
          <w:rFonts w:hint="eastAsia"/>
        </w:rPr>
        <w:t>。</w:t>
      </w:r>
      <w:r w:rsidR="00356A63" w:rsidRPr="004002FA">
        <w:t>在</w:t>
      </w:r>
      <w:r w:rsidR="00356A63">
        <w:t>投资分析中，</w:t>
      </w:r>
      <w:r w:rsidR="006B0059">
        <w:rPr>
          <w:rFonts w:hint="eastAsia"/>
        </w:rPr>
        <w:t>未来</w:t>
      </w:r>
      <w:r w:rsidR="006B0059">
        <w:t>基金注重现有评估和未来评估计划的</w:t>
      </w:r>
      <w:r w:rsidR="006B0059">
        <w:rPr>
          <w:rFonts w:hint="eastAsia"/>
        </w:rPr>
        <w:t>一致性</w:t>
      </w:r>
      <w:r w:rsidR="00356A63">
        <w:rPr>
          <w:rFonts w:hint="eastAsia"/>
        </w:rPr>
        <w:t>，</w:t>
      </w:r>
      <w:r w:rsidR="00356A63">
        <w:t>投资</w:t>
      </w:r>
      <w:r w:rsidR="00356A63">
        <w:rPr>
          <w:rFonts w:hint="eastAsia"/>
        </w:rPr>
        <w:t>团队以</w:t>
      </w:r>
      <w:r w:rsidR="00356A63">
        <w:t>自下而上的尽调辅之以</w:t>
      </w:r>
      <w:r w:rsidR="00356A63">
        <w:rPr>
          <w:rFonts w:hint="eastAsia"/>
        </w:rPr>
        <w:t>经济</w:t>
      </w:r>
      <w:r w:rsidR="00356A63">
        <w:t>和资本市场</w:t>
      </w:r>
      <w:r w:rsidR="00356A63">
        <w:rPr>
          <w:rFonts w:hint="eastAsia"/>
        </w:rPr>
        <w:t>自上而下</w:t>
      </w:r>
      <w:r w:rsidR="00356A63">
        <w:t>的研究，保障能够将</w:t>
      </w:r>
      <w:r w:rsidR="00356A63">
        <w:rPr>
          <w:rFonts w:hint="eastAsia"/>
        </w:rPr>
        <w:t>每个</w:t>
      </w:r>
      <w:r w:rsidR="00356A63">
        <w:t>投资行为和整个基金</w:t>
      </w:r>
      <w:r w:rsidR="00356A63">
        <w:rPr>
          <w:rFonts w:hint="eastAsia"/>
        </w:rPr>
        <w:t>有机结合。</w:t>
      </w:r>
    </w:p>
    <w:p w:rsidR="00356A63" w:rsidRPr="00236DD0" w:rsidRDefault="00356A63" w:rsidP="00356A63"/>
    <w:p w:rsidR="00304198" w:rsidRPr="00BF3BEC" w:rsidRDefault="001218F3" w:rsidP="00BF3BEC">
      <w:r>
        <w:rPr>
          <w:rFonts w:hint="eastAsia"/>
        </w:rPr>
        <w:t>截至</w:t>
      </w:r>
      <w:r w:rsidR="00356A63">
        <w:rPr>
          <w:rFonts w:hint="eastAsia"/>
        </w:rPr>
        <w:t>2017</w:t>
      </w:r>
      <w:r w:rsidR="00356A63">
        <w:rPr>
          <w:rFonts w:hint="eastAsia"/>
        </w:rPr>
        <w:t>年</w:t>
      </w:r>
      <w:r w:rsidR="00356A63">
        <w:rPr>
          <w:rFonts w:hint="eastAsia"/>
        </w:rPr>
        <w:t>6</w:t>
      </w:r>
      <w:r w:rsidR="00356A63">
        <w:rPr>
          <w:rFonts w:hint="eastAsia"/>
        </w:rPr>
        <w:t>月</w:t>
      </w:r>
      <w:r w:rsidR="0024265D">
        <w:rPr>
          <w:rFonts w:hint="eastAsia"/>
        </w:rPr>
        <w:t>，</w:t>
      </w:r>
      <w:r w:rsidR="0024265D" w:rsidRPr="00D60854">
        <w:rPr>
          <w:rFonts w:hint="eastAsia"/>
        </w:rPr>
        <w:t>未来基金</w:t>
      </w:r>
      <w:r w:rsidR="0024265D">
        <w:rPr>
          <w:rFonts w:hint="eastAsia"/>
        </w:rPr>
        <w:t>大约有</w:t>
      </w:r>
      <w:r w:rsidR="0024265D">
        <w:rPr>
          <w:rFonts w:hint="eastAsia"/>
        </w:rPr>
        <w:t>30%</w:t>
      </w:r>
      <w:r w:rsidR="0024265D">
        <w:rPr>
          <w:rFonts w:hint="eastAsia"/>
        </w:rPr>
        <w:t>的资产投资于股票，</w:t>
      </w:r>
      <w:r w:rsidR="00356A63">
        <w:rPr>
          <w:rFonts w:hint="eastAsia"/>
        </w:rPr>
        <w:t>与</w:t>
      </w:r>
      <w:r w:rsidR="00356A63">
        <w:rPr>
          <w:rFonts w:hint="eastAsia"/>
        </w:rPr>
        <w:t>2016</w:t>
      </w:r>
      <w:r w:rsidR="00356A63">
        <w:rPr>
          <w:rFonts w:hint="eastAsia"/>
        </w:rPr>
        <w:t>年</w:t>
      </w:r>
      <w:r w:rsidR="00356A63">
        <w:t>相比</w:t>
      </w:r>
      <w:r w:rsidR="0024265D">
        <w:rPr>
          <w:rFonts w:hint="eastAsia"/>
        </w:rPr>
        <w:t>略有下降</w:t>
      </w:r>
      <w:r w:rsidR="00D60854">
        <w:rPr>
          <w:rFonts w:hint="eastAsia"/>
        </w:rPr>
        <w:t>，</w:t>
      </w:r>
      <w:r w:rsidR="00356A63">
        <w:t>主要</w:t>
      </w:r>
      <w:r w:rsidR="00356A63">
        <w:rPr>
          <w:rFonts w:hint="eastAsia"/>
        </w:rPr>
        <w:t>集中</w:t>
      </w:r>
      <w:r w:rsidR="00356A63">
        <w:t>于发达</w:t>
      </w:r>
      <w:r w:rsidR="0024265D">
        <w:rPr>
          <w:rFonts w:hint="eastAsia"/>
        </w:rPr>
        <w:t>国家</w:t>
      </w:r>
      <w:r w:rsidR="00356A63">
        <w:rPr>
          <w:rFonts w:hint="eastAsia"/>
        </w:rPr>
        <w:t>市场。在</w:t>
      </w:r>
      <w:r w:rsidR="00356A63">
        <w:t>私募股</w:t>
      </w:r>
      <w:r w:rsidR="00356A63">
        <w:rPr>
          <w:rFonts w:hint="eastAsia"/>
        </w:rPr>
        <w:t>权</w:t>
      </w:r>
      <w:r w:rsidR="0024265D">
        <w:t>投资</w:t>
      </w:r>
      <w:r w:rsidR="00356A63">
        <w:t>方面</w:t>
      </w:r>
      <w:r w:rsidR="00356A63">
        <w:rPr>
          <w:rFonts w:hint="eastAsia"/>
        </w:rPr>
        <w:t>，</w:t>
      </w:r>
      <w:r w:rsidR="00356A63">
        <w:t>未来基金</w:t>
      </w:r>
      <w:r w:rsidR="00356A63">
        <w:rPr>
          <w:rFonts w:hint="eastAsia"/>
        </w:rPr>
        <w:t>认为</w:t>
      </w:r>
      <w:r w:rsidR="0024265D">
        <w:rPr>
          <w:rFonts w:hint="eastAsia"/>
        </w:rPr>
        <w:t>私募股权流动性较弱，但能够产生更高的风险收益，而且</w:t>
      </w:r>
      <w:r w:rsidR="00356A63">
        <w:t>私募股权可以投资于</w:t>
      </w:r>
      <w:r w:rsidR="009D0AF3">
        <w:rPr>
          <w:rFonts w:hint="eastAsia"/>
        </w:rPr>
        <w:t>比较少见</w:t>
      </w:r>
      <w:r w:rsidR="009D0AF3">
        <w:t>的</w:t>
      </w:r>
      <w:r w:rsidR="00356A63">
        <w:rPr>
          <w:rFonts w:hint="eastAsia"/>
        </w:rPr>
        <w:t>主题</w:t>
      </w:r>
      <w:r w:rsidR="00356A63">
        <w:t>。未来基金</w:t>
      </w:r>
      <w:r w:rsidR="0024265D">
        <w:rPr>
          <w:rFonts w:hint="eastAsia"/>
        </w:rPr>
        <w:t>有</w:t>
      </w:r>
      <w:r w:rsidR="00356A63">
        <w:rPr>
          <w:rFonts w:hint="eastAsia"/>
        </w:rPr>
        <w:t>229</w:t>
      </w:r>
      <w:r w:rsidR="00356A63">
        <w:rPr>
          <w:rFonts w:hint="eastAsia"/>
        </w:rPr>
        <w:t>亿</w:t>
      </w:r>
      <w:r w:rsidR="00356A63">
        <w:t>澳元</w:t>
      </w:r>
      <w:r w:rsidR="0024265D">
        <w:rPr>
          <w:rFonts w:hint="eastAsia"/>
        </w:rPr>
        <w:t>投资</w:t>
      </w:r>
      <w:r w:rsidR="00356A63">
        <w:rPr>
          <w:rFonts w:hint="eastAsia"/>
        </w:rPr>
        <w:t>于</w:t>
      </w:r>
      <w:r w:rsidR="00356A63">
        <w:t>私</w:t>
      </w:r>
      <w:r w:rsidR="00356A63" w:rsidRPr="004002FA">
        <w:t>募股权</w:t>
      </w:r>
      <w:r w:rsidR="00356A63" w:rsidRPr="004002FA">
        <w:rPr>
          <w:rFonts w:hint="eastAsia"/>
        </w:rPr>
        <w:t>，</w:t>
      </w:r>
      <w:r w:rsidR="00356A63" w:rsidRPr="004002FA">
        <w:t>其中有</w:t>
      </w:r>
      <w:r w:rsidR="00356A63" w:rsidRPr="004002FA">
        <w:rPr>
          <w:rFonts w:hint="eastAsia"/>
        </w:rPr>
        <w:t>66</w:t>
      </w:r>
      <w:r w:rsidR="00356A63" w:rsidRPr="004002FA">
        <w:t>%</w:t>
      </w:r>
      <w:r w:rsidR="00356A63" w:rsidRPr="004002FA">
        <w:t>投资于美国的公司</w:t>
      </w:r>
      <w:r w:rsidR="00356A63" w:rsidRPr="004002FA">
        <w:rPr>
          <w:rFonts w:hint="eastAsia"/>
        </w:rPr>
        <w:t>，</w:t>
      </w:r>
      <w:r w:rsidR="00FD4267" w:rsidRPr="004002FA" w:rsidDel="00FD4267">
        <w:t xml:space="preserve"> </w:t>
      </w:r>
      <w:r w:rsidR="00356A63" w:rsidRPr="004002FA">
        <w:rPr>
          <w:rFonts w:hint="eastAsia"/>
        </w:rPr>
        <w:t>9</w:t>
      </w:r>
      <w:r w:rsidR="00356A63" w:rsidRPr="004002FA">
        <w:t>%</w:t>
      </w:r>
      <w:r w:rsidR="00356A63" w:rsidRPr="004002FA">
        <w:t>投资于新兴市场</w:t>
      </w:r>
      <w:r w:rsidR="0024265D">
        <w:rPr>
          <w:rFonts w:hint="eastAsia"/>
        </w:rPr>
        <w:t>国家</w:t>
      </w:r>
      <w:r w:rsidR="00356A63" w:rsidRPr="004002FA">
        <w:rPr>
          <w:rFonts w:hint="eastAsia"/>
        </w:rPr>
        <w:t>。</w:t>
      </w:r>
      <w:r w:rsidR="0024265D">
        <w:rPr>
          <w:rFonts w:hint="eastAsia"/>
        </w:rPr>
        <w:t>房地产和基建投资方面</w:t>
      </w:r>
      <w:r w:rsidR="00356A63" w:rsidRPr="004002FA">
        <w:t>，</w:t>
      </w:r>
      <w:r w:rsidR="00356A63" w:rsidRPr="004002FA">
        <w:rPr>
          <w:rFonts w:hint="eastAsia"/>
        </w:rPr>
        <w:t>未来基金</w:t>
      </w:r>
      <w:r w:rsidR="0024265D">
        <w:rPr>
          <w:rFonts w:hint="eastAsia"/>
        </w:rPr>
        <w:t>有</w:t>
      </w:r>
      <w:r w:rsidR="00356A63">
        <w:rPr>
          <w:rFonts w:hint="eastAsia"/>
        </w:rPr>
        <w:t>107</w:t>
      </w:r>
      <w:r w:rsidR="00356A63">
        <w:rPr>
          <w:rFonts w:hint="eastAsia"/>
        </w:rPr>
        <w:t>亿</w:t>
      </w:r>
      <w:r w:rsidR="00356A63">
        <w:t>澳元于基础设施和农林类资产</w:t>
      </w:r>
      <w:r w:rsidR="00356A63">
        <w:rPr>
          <w:rFonts w:hint="eastAsia"/>
        </w:rPr>
        <w:t>，</w:t>
      </w:r>
      <w:r w:rsidR="00356A63">
        <w:t>主要</w:t>
      </w:r>
      <w:r w:rsidR="0024265D">
        <w:rPr>
          <w:rFonts w:hint="eastAsia"/>
        </w:rPr>
        <w:t>是</w:t>
      </w:r>
      <w:r w:rsidR="00356A63">
        <w:rPr>
          <w:rFonts w:hint="eastAsia"/>
        </w:rPr>
        <w:t>澳大利亚</w:t>
      </w:r>
      <w:r w:rsidR="00BF3BEC">
        <w:t>国内</w:t>
      </w:r>
      <w:r w:rsidR="0024265D">
        <w:rPr>
          <w:rFonts w:hint="eastAsia"/>
        </w:rPr>
        <w:t>的投资</w:t>
      </w:r>
      <w:r w:rsidR="00BF3BEC">
        <w:rPr>
          <w:rFonts w:hint="eastAsia"/>
        </w:rPr>
        <w:t>（</w:t>
      </w:r>
      <w:r w:rsidR="00BF3BEC">
        <w:rPr>
          <w:rFonts w:hint="eastAsia"/>
        </w:rPr>
        <w:t>49</w:t>
      </w:r>
      <w:r w:rsidR="00BF3BEC">
        <w:t>%</w:t>
      </w:r>
      <w:r w:rsidR="00BF3BEC">
        <w:rPr>
          <w:rFonts w:hint="eastAsia"/>
        </w:rPr>
        <w:t>）</w:t>
      </w:r>
      <w:r w:rsidR="0024265D">
        <w:rPr>
          <w:rFonts w:hint="eastAsia"/>
        </w:rPr>
        <w:t>。</w:t>
      </w:r>
      <w:r w:rsidR="00356A63">
        <w:t>债</w:t>
      </w:r>
      <w:r w:rsidR="00356A63">
        <w:rPr>
          <w:rFonts w:hint="eastAsia"/>
        </w:rPr>
        <w:t>权</w:t>
      </w:r>
      <w:r w:rsidR="00356A63">
        <w:t>投资方面，</w:t>
      </w:r>
      <w:r w:rsidR="00BE274F">
        <w:rPr>
          <w:rFonts w:hint="eastAsia"/>
        </w:rPr>
        <w:t>未来基金</w:t>
      </w:r>
      <w:r w:rsidR="00BE274F">
        <w:rPr>
          <w:rFonts w:hint="eastAsia"/>
        </w:rPr>
        <w:t>2017</w:t>
      </w:r>
      <w:r w:rsidR="00BE274F">
        <w:rPr>
          <w:rFonts w:hint="eastAsia"/>
        </w:rPr>
        <w:t>年投资占比为</w:t>
      </w:r>
      <w:r w:rsidR="00BE274F">
        <w:rPr>
          <w:rFonts w:hint="eastAsia"/>
        </w:rPr>
        <w:t>10.6%</w:t>
      </w:r>
      <w:r w:rsidR="00BE274F">
        <w:rPr>
          <w:rFonts w:hint="eastAsia"/>
        </w:rPr>
        <w:t>，较</w:t>
      </w:r>
      <w:r w:rsidR="00356A63">
        <w:rPr>
          <w:rFonts w:hint="eastAsia"/>
        </w:rPr>
        <w:t>2016</w:t>
      </w:r>
      <w:r w:rsidR="00356A63">
        <w:rPr>
          <w:rFonts w:hint="eastAsia"/>
        </w:rPr>
        <w:t>年</w:t>
      </w:r>
      <w:r w:rsidR="00BE274F">
        <w:rPr>
          <w:rFonts w:hint="eastAsia"/>
        </w:rPr>
        <w:t>略微下降</w:t>
      </w:r>
      <w:r w:rsidR="00356A63">
        <w:t>，主要市场依然是美国，占到债</w:t>
      </w:r>
      <w:r w:rsidR="00356A63">
        <w:rPr>
          <w:rFonts w:hint="eastAsia"/>
        </w:rPr>
        <w:t>权</w:t>
      </w:r>
      <w:r w:rsidR="00356A63">
        <w:t>投资的</w:t>
      </w:r>
      <w:r w:rsidR="00356A63">
        <w:rPr>
          <w:rFonts w:hint="eastAsia"/>
        </w:rPr>
        <w:t>47</w:t>
      </w:r>
      <w:r w:rsidR="00356A63">
        <w:t>%</w:t>
      </w:r>
      <w:r w:rsidR="00356A63">
        <w:t>。</w:t>
      </w:r>
      <w:r w:rsidR="00BE274F">
        <w:rPr>
          <w:rFonts w:hint="eastAsia"/>
        </w:rPr>
        <w:t>另外</w:t>
      </w:r>
      <w:r w:rsidR="00356A63">
        <w:rPr>
          <w:rFonts w:hint="eastAsia"/>
        </w:rPr>
        <w:t>未来</w:t>
      </w:r>
      <w:r w:rsidR="00356A63">
        <w:t>基金</w:t>
      </w:r>
      <w:r w:rsidR="00102624">
        <w:rPr>
          <w:rFonts w:hint="eastAsia"/>
        </w:rPr>
        <w:t>也</w:t>
      </w:r>
      <w:r w:rsidR="00BE274F">
        <w:t>注重另类资产</w:t>
      </w:r>
      <w:r w:rsidR="00356A63">
        <w:rPr>
          <w:rFonts w:hint="eastAsia"/>
        </w:rPr>
        <w:t>投资</w:t>
      </w:r>
      <w:r w:rsidR="00356A63">
        <w:t>，</w:t>
      </w:r>
      <w:r w:rsidR="00356A63">
        <w:t>2017</w:t>
      </w:r>
      <w:r w:rsidR="00356A63">
        <w:rPr>
          <w:rFonts w:hint="eastAsia"/>
        </w:rPr>
        <w:t>年</w:t>
      </w:r>
      <w:r w:rsidR="00356A63">
        <w:t>的另类资产投资占</w:t>
      </w:r>
      <w:r w:rsidR="00BE274F">
        <w:rPr>
          <w:rFonts w:hint="eastAsia"/>
        </w:rPr>
        <w:t>比为</w:t>
      </w:r>
      <w:r w:rsidR="00356A63">
        <w:rPr>
          <w:rFonts w:hint="eastAsia"/>
        </w:rPr>
        <w:t>14.8</w:t>
      </w:r>
      <w:r w:rsidR="00356A63">
        <w:t>%</w:t>
      </w:r>
      <w:r w:rsidR="00356A63">
        <w:t>，</w:t>
      </w:r>
      <w:r w:rsidR="00356A63">
        <w:rPr>
          <w:rFonts w:hint="eastAsia"/>
        </w:rPr>
        <w:t>主要采用</w:t>
      </w:r>
      <w:r w:rsidR="00356A63">
        <w:t>相对价值</w:t>
      </w:r>
      <w:r w:rsidR="00356A63">
        <w:rPr>
          <w:rFonts w:hint="eastAsia"/>
        </w:rPr>
        <w:t>策略（</w:t>
      </w:r>
      <w:r w:rsidR="00356A63">
        <w:rPr>
          <w:rFonts w:hint="eastAsia"/>
        </w:rPr>
        <w:t>27</w:t>
      </w:r>
      <w:r w:rsidR="00356A63">
        <w:t>%</w:t>
      </w:r>
      <w:r w:rsidR="00356A63">
        <w:rPr>
          <w:rFonts w:hint="eastAsia"/>
        </w:rPr>
        <w:t>）</w:t>
      </w:r>
      <w:r w:rsidR="00356A63">
        <w:t>、</w:t>
      </w:r>
      <w:r w:rsidR="00356A63">
        <w:rPr>
          <w:rFonts w:hint="eastAsia"/>
        </w:rPr>
        <w:t>全球</w:t>
      </w:r>
      <w:r w:rsidR="00356A63">
        <w:t>宏观策略</w:t>
      </w:r>
      <w:r w:rsidR="00356A63">
        <w:rPr>
          <w:rFonts w:hint="eastAsia"/>
        </w:rPr>
        <w:t>（</w:t>
      </w:r>
      <w:r w:rsidR="00356A63">
        <w:rPr>
          <w:rFonts w:hint="eastAsia"/>
        </w:rPr>
        <w:t>58</w:t>
      </w:r>
      <w:r w:rsidR="00356A63">
        <w:t>%</w:t>
      </w:r>
      <w:r w:rsidR="00356A63">
        <w:rPr>
          <w:rFonts w:hint="eastAsia"/>
        </w:rPr>
        <w:t>）</w:t>
      </w:r>
      <w:r w:rsidR="00356A63">
        <w:t>和</w:t>
      </w:r>
      <w:r w:rsidR="00356A63">
        <w:rPr>
          <w:rFonts w:hint="eastAsia"/>
        </w:rPr>
        <w:t>替代风险溢价策略</w:t>
      </w:r>
      <w:r w:rsidR="00356A63">
        <w:t>（</w:t>
      </w:r>
      <w:r w:rsidR="00356A63">
        <w:rPr>
          <w:rFonts w:hint="eastAsia"/>
        </w:rPr>
        <w:t>15</w:t>
      </w:r>
      <w:r w:rsidR="00356A63">
        <w:t>%</w:t>
      </w:r>
      <w:r w:rsidR="00356A63">
        <w:t>）</w:t>
      </w:r>
      <w:r w:rsidR="00356A63">
        <w:rPr>
          <w:rFonts w:hint="eastAsia"/>
        </w:rPr>
        <w:t>。</w:t>
      </w:r>
    </w:p>
    <w:p w:rsidR="0035189F" w:rsidRDefault="0035189F" w:rsidP="00A00D0E">
      <w:r>
        <w:rPr>
          <w:rFonts w:hint="eastAsia"/>
          <w:noProof/>
        </w:rPr>
        <w:lastRenderedPageBreak/>
        <w:drawing>
          <wp:anchor distT="0" distB="0" distL="114300" distR="114300" simplePos="0" relativeHeight="251662336" behindDoc="0" locked="0" layoutInCell="1" allowOverlap="1">
            <wp:simplePos x="0" y="0"/>
            <wp:positionH relativeFrom="column">
              <wp:posOffset>-41910</wp:posOffset>
            </wp:positionH>
            <wp:positionV relativeFrom="paragraph">
              <wp:posOffset>899160</wp:posOffset>
            </wp:positionV>
            <wp:extent cx="5278120" cy="2964180"/>
            <wp:effectExtent l="0" t="0" r="0" b="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F3BEC">
        <w:rPr>
          <w:rFonts w:hint="eastAsia"/>
        </w:rPr>
        <w:t>从地域</w:t>
      </w:r>
      <w:r w:rsidR="00BF3BEC">
        <w:t>上看</w:t>
      </w:r>
      <w:r w:rsidR="009D0AF3">
        <w:rPr>
          <w:rFonts w:hint="eastAsia"/>
        </w:rPr>
        <w:t>，</w:t>
      </w:r>
      <w:r w:rsidR="00BF3BEC">
        <w:t>未来基金</w:t>
      </w:r>
      <w:r w:rsidR="00BF3BEC">
        <w:rPr>
          <w:rFonts w:hint="eastAsia"/>
        </w:rPr>
        <w:t>大量</w:t>
      </w:r>
      <w:r w:rsidR="00BF3BEC">
        <w:t>资产投资于海外市场，</w:t>
      </w:r>
      <w:r w:rsidR="00BF3BEC">
        <w:rPr>
          <w:rFonts w:hint="eastAsia"/>
        </w:rPr>
        <w:t>海外</w:t>
      </w:r>
      <w:r w:rsidR="00BF3BEC">
        <w:t>市场投</w:t>
      </w:r>
      <w:r w:rsidR="00BF3BEC">
        <w:rPr>
          <w:rFonts w:hint="eastAsia"/>
        </w:rPr>
        <w:t>资占</w:t>
      </w:r>
      <w:r w:rsidR="00BF3BEC">
        <w:t>基金资产的</w:t>
      </w:r>
      <w:r w:rsidR="00BF3BEC">
        <w:rPr>
          <w:rFonts w:hint="eastAsia"/>
        </w:rPr>
        <w:t>72</w:t>
      </w:r>
      <w:r w:rsidR="00BF3BEC">
        <w:t>%</w:t>
      </w:r>
      <w:r w:rsidR="00BF3BEC">
        <w:t>，其中</w:t>
      </w:r>
      <w:r w:rsidR="00BF3BEC">
        <w:rPr>
          <w:rFonts w:hint="eastAsia"/>
        </w:rPr>
        <w:t>美国</w:t>
      </w:r>
      <w:r w:rsidR="00BF3BEC">
        <w:t>占</w:t>
      </w:r>
      <w:r w:rsidR="00BF3BEC">
        <w:t>36%</w:t>
      </w:r>
      <w:r w:rsidR="00BF3BEC">
        <w:t>，新兴市场国家的投资</w:t>
      </w:r>
      <w:r w:rsidR="00BF3BEC">
        <w:rPr>
          <w:rFonts w:hint="eastAsia"/>
        </w:rPr>
        <w:t>占</w:t>
      </w:r>
      <w:r w:rsidR="00BF3BEC">
        <w:t>未来基金投资规模的</w:t>
      </w:r>
      <w:r w:rsidR="00BF3BEC">
        <w:t>11%</w:t>
      </w:r>
      <w:r w:rsidR="00BF3BEC">
        <w:rPr>
          <w:rFonts w:hint="eastAsia"/>
        </w:rPr>
        <w:t>；澳大利亚</w:t>
      </w:r>
      <w:r w:rsidR="00BF3BEC">
        <w:t>本国投资只占</w:t>
      </w:r>
      <w:r w:rsidR="00BF3BEC">
        <w:rPr>
          <w:rFonts w:hint="eastAsia"/>
        </w:rPr>
        <w:t>28</w:t>
      </w:r>
      <w:r w:rsidR="00BF3BEC">
        <w:t>%</w:t>
      </w:r>
      <w:r w:rsidR="00BF3BEC">
        <w:t>。</w:t>
      </w:r>
      <w:r w:rsidR="00A00D0E">
        <w:rPr>
          <w:rFonts w:hint="eastAsia"/>
        </w:rPr>
        <w:t>如图</w:t>
      </w:r>
      <w:r w:rsidR="00A00D0E">
        <w:rPr>
          <w:rFonts w:hint="eastAsia"/>
        </w:rPr>
        <w:t>4</w:t>
      </w:r>
      <w:r w:rsidR="00A00D0E">
        <w:rPr>
          <w:rFonts w:hint="eastAsia"/>
        </w:rPr>
        <w:t>所示。从行业分布上看，澳大利亚未来基金资产配置主要分布在</w:t>
      </w:r>
      <w:r w:rsidR="00A00D0E">
        <w:rPr>
          <w:rFonts w:hint="eastAsia"/>
        </w:rPr>
        <w:t>11</w:t>
      </w:r>
      <w:r w:rsidR="00A00D0E">
        <w:rPr>
          <w:rFonts w:hint="eastAsia"/>
        </w:rPr>
        <w:t>个行业，如表</w:t>
      </w:r>
      <w:r w:rsidR="00A00D0E">
        <w:rPr>
          <w:rFonts w:hint="eastAsia"/>
        </w:rPr>
        <w:t>13</w:t>
      </w:r>
      <w:r w:rsidR="00A00D0E">
        <w:rPr>
          <w:rFonts w:hint="eastAsia"/>
        </w:rPr>
        <w:t>所示。</w:t>
      </w:r>
    </w:p>
    <w:p w:rsidR="0035189F" w:rsidRPr="00304198" w:rsidRDefault="009D2541" w:rsidP="0035189F">
      <w:pPr>
        <w:ind w:firstLine="420"/>
        <w:jc w:val="center"/>
        <w:rPr>
          <w:sz w:val="18"/>
          <w:szCs w:val="18"/>
        </w:rPr>
      </w:pPr>
      <w:r w:rsidRPr="009D2541">
        <w:rPr>
          <w:noProof/>
        </w:rPr>
        <w:pict>
          <v:shape id="文本框 14" o:spid="_x0000_s1028" type="#_x0000_t202" style="position:absolute;left:0;text-align:left;margin-left:1.55pt;margin-top:248.4pt;width:415.3pt;height:16.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" stroked="f">
            <v:textbox style="mso-next-textbox:#文本框 14" inset="0,0,0,0">
              <w:txbxContent>
                <w:p w:rsidR="008804D1" w:rsidRPr="0035189F" w:rsidRDefault="008804D1" w:rsidP="0035189F">
                  <w:pPr>
                    <w:jc w:val="center"/>
                    <w:rPr>
                      <w:b/>
                    </w:rPr>
                  </w:pPr>
                  <w:r w:rsidRPr="0035189F">
                    <w:rPr>
                      <w:rFonts w:hint="eastAsia"/>
                      <w:b/>
                    </w:rPr>
                    <w:t>图</w:t>
                  </w:r>
                  <w:r w:rsidRPr="0035189F">
                    <w:rPr>
                      <w:rFonts w:hint="eastAsia"/>
                      <w:b/>
                    </w:rPr>
                    <w:t xml:space="preserve"> 4</w:t>
                  </w:r>
                  <w:r w:rsidRPr="0035189F">
                    <w:rPr>
                      <w:rFonts w:hint="eastAsia"/>
                      <w:b/>
                    </w:rPr>
                    <w:t>澳大利亚未来基金投资</w:t>
                  </w:r>
                  <w:r w:rsidRPr="0035189F">
                    <w:rPr>
                      <w:b/>
                    </w:rPr>
                    <w:t>按地域分类</w:t>
                  </w:r>
                </w:p>
              </w:txbxContent>
            </v:textbox>
            <w10:wrap type="topAndBottom"/>
          </v:shape>
        </w:pict>
      </w:r>
      <w:r w:rsidR="0035189F">
        <w:rPr>
          <w:rFonts w:hint="eastAsia"/>
          <w:sz w:val="18"/>
          <w:szCs w:val="18"/>
        </w:rPr>
        <w:t>资料</w:t>
      </w:r>
      <w:r w:rsidR="0035189F" w:rsidRPr="00304198">
        <w:rPr>
          <w:sz w:val="18"/>
          <w:szCs w:val="18"/>
        </w:rPr>
        <w:t>来源：</w:t>
      </w:r>
      <w:r w:rsidR="0035189F" w:rsidRPr="00304198">
        <w:rPr>
          <w:sz w:val="18"/>
          <w:szCs w:val="18"/>
        </w:rPr>
        <w:t>Future Fund Annual Report 2016-17</w:t>
      </w:r>
      <w:r w:rsidR="0035189F">
        <w:rPr>
          <w:rFonts w:hint="eastAsia"/>
          <w:sz w:val="18"/>
          <w:szCs w:val="18"/>
        </w:rPr>
        <w:t>。</w:t>
      </w:r>
    </w:p>
    <w:p w:rsidR="00A00D0E" w:rsidRPr="00A00D0E" w:rsidRDefault="00A00D0E" w:rsidP="00A00D0E"/>
    <w:p w:rsidR="0035189F" w:rsidRPr="0035189F" w:rsidRDefault="0035189F" w:rsidP="0035189F">
      <w:pPr>
        <w:pStyle w:val="af"/>
        <w:keepNext/>
        <w:jc w:val="center"/>
        <w:rPr>
          <w:b/>
        </w:rPr>
      </w:pPr>
      <w:r w:rsidRPr="0035189F">
        <w:rPr>
          <w:rFonts w:hint="eastAsia"/>
          <w:b/>
        </w:rPr>
        <w:t>表</w:t>
      </w:r>
      <w:r w:rsidRPr="0035189F">
        <w:rPr>
          <w:rFonts w:hint="eastAsia"/>
          <w:b/>
        </w:rPr>
        <w:t xml:space="preserve"> 13</w:t>
      </w:r>
      <w:r w:rsidRPr="0035189F">
        <w:rPr>
          <w:rFonts w:hint="eastAsia"/>
          <w:b/>
        </w:rPr>
        <w:t>澳大利亚未来基金资产</w:t>
      </w:r>
      <w:r w:rsidRPr="0035189F">
        <w:rPr>
          <w:b/>
        </w:rPr>
        <w:t>配置</w:t>
      </w:r>
      <w:r w:rsidRPr="0035189F">
        <w:rPr>
          <w:rFonts w:hint="eastAsia"/>
          <w:b/>
        </w:rPr>
        <w:t>行业</w:t>
      </w:r>
      <w:r w:rsidRPr="0035189F">
        <w:rPr>
          <w:b/>
        </w:rPr>
        <w:t>分布</w:t>
      </w:r>
    </w:p>
    <w:p w:rsidR="0035189F" w:rsidRDefault="00927D92" w:rsidP="00927D92">
      <w:pPr>
        <w:jc w:val="right"/>
      </w:pPr>
      <w:r>
        <w:rPr>
          <w:rFonts w:hint="eastAsia"/>
        </w:rPr>
        <w:t>单位：</w:t>
      </w:r>
      <w:r>
        <w:rPr>
          <w:rFonts w:hint="eastAsia"/>
        </w:rPr>
        <w:t>%</w:t>
      </w:r>
    </w:p>
    <w:tbl>
      <w:tblPr>
        <w:tblStyle w:val="31"/>
        <w:tblpPr w:leftFromText="180" w:rightFromText="180" w:vertAnchor="text" w:horzAnchor="margin" w:tblpXSpec="center" w:tblpY="86"/>
        <w:tblW w:w="2902" w:type="pct"/>
        <w:tblLook w:val="04A0"/>
      </w:tblPr>
      <w:tblGrid>
        <w:gridCol w:w="3817"/>
        <w:gridCol w:w="1129"/>
      </w:tblGrid>
      <w:tr w:rsidR="0035189F" w:rsidRPr="002352CC" w:rsidTr="0035189F">
        <w:trPr>
          <w:cnfStyle w:val="100000000000"/>
          <w:trHeight w:val="270"/>
        </w:trPr>
        <w:tc>
          <w:tcPr>
            <w:cnfStyle w:val="0010000001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行业</w:t>
            </w:r>
          </w:p>
        </w:tc>
        <w:tc>
          <w:tcPr>
            <w:tcW w:w="1141" w:type="pct"/>
            <w:noWrap/>
            <w:hideMark/>
          </w:tcPr>
          <w:p w:rsidR="0035189F" w:rsidRPr="002352CC" w:rsidRDefault="0035189F" w:rsidP="0035189F">
            <w:pPr>
              <w:widowControl/>
              <w:jc w:val="left"/>
              <w:cnfStyle w:val="100000000000"/>
              <w:rPr>
                <w:rFonts w:ascii="宋体" w:eastAsia="宋体" w:hAnsi="宋体" w:cs="宋体"/>
                <w:color w:val="000000"/>
                <w:kern w:val="0"/>
                <w:sz w:val="22"/>
              </w:rPr>
            </w:pPr>
            <w:r w:rsidRPr="002352CC">
              <w:rPr>
                <w:rFonts w:ascii="宋体" w:eastAsia="宋体" w:hAnsi="宋体" w:cs="宋体" w:hint="eastAsia"/>
                <w:color w:val="000000"/>
                <w:kern w:val="0"/>
                <w:sz w:val="22"/>
              </w:rPr>
              <w:t>投资占比</w:t>
            </w:r>
          </w:p>
        </w:tc>
      </w:tr>
      <w:tr w:rsidR="0035189F" w:rsidRPr="002352CC" w:rsidTr="0035189F">
        <w:trPr>
          <w:cnfStyle w:val="000000100000"/>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能源</w:t>
            </w:r>
          </w:p>
        </w:tc>
        <w:tc>
          <w:tcPr>
            <w:tcW w:w="1141" w:type="pct"/>
            <w:noWrap/>
            <w:hideMark/>
          </w:tcPr>
          <w:p w:rsidR="0035189F" w:rsidRPr="002352CC" w:rsidRDefault="0035189F" w:rsidP="0035189F">
            <w:pPr>
              <w:widowControl/>
              <w:jc w:val="right"/>
              <w:cnfStyle w:val="000000100000"/>
              <w:rPr>
                <w:rFonts w:ascii="宋体" w:eastAsia="宋体" w:hAnsi="宋体" w:cs="宋体"/>
                <w:color w:val="000000"/>
                <w:kern w:val="0"/>
                <w:sz w:val="22"/>
              </w:rPr>
            </w:pPr>
            <w:r w:rsidRPr="002352CC">
              <w:rPr>
                <w:rFonts w:ascii="宋体" w:eastAsia="宋体" w:hAnsi="宋体" w:cs="宋体" w:hint="eastAsia"/>
                <w:color w:val="000000"/>
                <w:kern w:val="0"/>
                <w:sz w:val="22"/>
              </w:rPr>
              <w:t>4%</w:t>
            </w:r>
          </w:p>
        </w:tc>
      </w:tr>
      <w:tr w:rsidR="0035189F" w:rsidRPr="002352CC" w:rsidTr="0035189F">
        <w:trPr>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原材料</w:t>
            </w:r>
          </w:p>
        </w:tc>
        <w:tc>
          <w:tcPr>
            <w:tcW w:w="1141" w:type="pct"/>
            <w:noWrap/>
            <w:hideMark/>
          </w:tcPr>
          <w:p w:rsidR="0035189F" w:rsidRPr="002352CC" w:rsidRDefault="0035189F" w:rsidP="0035189F">
            <w:pPr>
              <w:widowControl/>
              <w:jc w:val="right"/>
              <w:cnfStyle w:val="000000000000"/>
              <w:rPr>
                <w:rFonts w:ascii="宋体" w:eastAsia="宋体" w:hAnsi="宋体" w:cs="宋体"/>
                <w:color w:val="000000"/>
                <w:kern w:val="0"/>
                <w:sz w:val="22"/>
              </w:rPr>
            </w:pPr>
            <w:r w:rsidRPr="002352CC">
              <w:rPr>
                <w:rFonts w:ascii="宋体" w:eastAsia="宋体" w:hAnsi="宋体" w:cs="宋体" w:hint="eastAsia"/>
                <w:color w:val="000000"/>
                <w:kern w:val="0"/>
                <w:sz w:val="22"/>
              </w:rPr>
              <w:t>8%</w:t>
            </w:r>
          </w:p>
        </w:tc>
      </w:tr>
      <w:tr w:rsidR="0035189F" w:rsidRPr="002352CC" w:rsidTr="0035189F">
        <w:trPr>
          <w:cnfStyle w:val="000000100000"/>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工业</w:t>
            </w:r>
          </w:p>
        </w:tc>
        <w:tc>
          <w:tcPr>
            <w:tcW w:w="1141" w:type="pct"/>
            <w:noWrap/>
            <w:hideMark/>
          </w:tcPr>
          <w:p w:rsidR="0035189F" w:rsidRPr="002352CC" w:rsidRDefault="0035189F" w:rsidP="0035189F">
            <w:pPr>
              <w:widowControl/>
              <w:jc w:val="right"/>
              <w:cnfStyle w:val="000000100000"/>
              <w:rPr>
                <w:rFonts w:ascii="宋体" w:eastAsia="宋体" w:hAnsi="宋体" w:cs="宋体"/>
                <w:color w:val="000000"/>
                <w:kern w:val="0"/>
                <w:sz w:val="22"/>
              </w:rPr>
            </w:pPr>
            <w:r w:rsidRPr="002352CC">
              <w:rPr>
                <w:rFonts w:ascii="宋体" w:eastAsia="宋体" w:hAnsi="宋体" w:cs="宋体" w:hint="eastAsia"/>
                <w:color w:val="000000"/>
                <w:kern w:val="0"/>
                <w:sz w:val="22"/>
              </w:rPr>
              <w:t>10%</w:t>
            </w:r>
          </w:p>
        </w:tc>
      </w:tr>
      <w:tr w:rsidR="0035189F" w:rsidRPr="002352CC" w:rsidTr="0035189F">
        <w:trPr>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可选消费</w:t>
            </w:r>
          </w:p>
        </w:tc>
        <w:tc>
          <w:tcPr>
            <w:tcW w:w="1141" w:type="pct"/>
            <w:noWrap/>
            <w:hideMark/>
          </w:tcPr>
          <w:p w:rsidR="0035189F" w:rsidRPr="002352CC" w:rsidRDefault="0035189F" w:rsidP="0035189F">
            <w:pPr>
              <w:widowControl/>
              <w:jc w:val="right"/>
              <w:cnfStyle w:val="000000000000"/>
              <w:rPr>
                <w:rFonts w:ascii="宋体" w:eastAsia="宋体" w:hAnsi="宋体" w:cs="宋体"/>
                <w:color w:val="000000"/>
                <w:kern w:val="0"/>
                <w:sz w:val="22"/>
              </w:rPr>
            </w:pPr>
            <w:r w:rsidRPr="002352CC">
              <w:rPr>
                <w:rFonts w:ascii="宋体" w:eastAsia="宋体" w:hAnsi="宋体" w:cs="宋体" w:hint="eastAsia"/>
                <w:color w:val="000000"/>
                <w:kern w:val="0"/>
                <w:sz w:val="22"/>
              </w:rPr>
              <w:t>13%</w:t>
            </w:r>
          </w:p>
        </w:tc>
      </w:tr>
      <w:tr w:rsidR="0035189F" w:rsidRPr="002352CC" w:rsidTr="0035189F">
        <w:trPr>
          <w:cnfStyle w:val="000000100000"/>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必要消费</w:t>
            </w:r>
          </w:p>
        </w:tc>
        <w:tc>
          <w:tcPr>
            <w:tcW w:w="1141" w:type="pct"/>
            <w:noWrap/>
            <w:hideMark/>
          </w:tcPr>
          <w:p w:rsidR="0035189F" w:rsidRPr="002352CC" w:rsidRDefault="0035189F" w:rsidP="0035189F">
            <w:pPr>
              <w:widowControl/>
              <w:jc w:val="right"/>
              <w:cnfStyle w:val="000000100000"/>
              <w:rPr>
                <w:rFonts w:ascii="宋体" w:eastAsia="宋体" w:hAnsi="宋体" w:cs="宋体"/>
                <w:color w:val="000000"/>
                <w:kern w:val="0"/>
                <w:sz w:val="22"/>
              </w:rPr>
            </w:pPr>
            <w:r w:rsidRPr="002352CC">
              <w:rPr>
                <w:rFonts w:ascii="宋体" w:eastAsia="宋体" w:hAnsi="宋体" w:cs="宋体" w:hint="eastAsia"/>
                <w:color w:val="000000"/>
                <w:kern w:val="0"/>
                <w:sz w:val="22"/>
              </w:rPr>
              <w:t>9%</w:t>
            </w:r>
          </w:p>
        </w:tc>
      </w:tr>
      <w:tr w:rsidR="0035189F" w:rsidRPr="002352CC" w:rsidTr="0035189F">
        <w:trPr>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医疗</w:t>
            </w:r>
          </w:p>
        </w:tc>
        <w:tc>
          <w:tcPr>
            <w:tcW w:w="1141" w:type="pct"/>
            <w:noWrap/>
            <w:hideMark/>
          </w:tcPr>
          <w:p w:rsidR="0035189F" w:rsidRPr="002352CC" w:rsidRDefault="0035189F" w:rsidP="0035189F">
            <w:pPr>
              <w:widowControl/>
              <w:jc w:val="right"/>
              <w:cnfStyle w:val="000000000000"/>
              <w:rPr>
                <w:rFonts w:ascii="宋体" w:eastAsia="宋体" w:hAnsi="宋体" w:cs="宋体"/>
                <w:color w:val="000000"/>
                <w:kern w:val="0"/>
                <w:sz w:val="22"/>
              </w:rPr>
            </w:pPr>
            <w:r w:rsidRPr="002352CC">
              <w:rPr>
                <w:rFonts w:ascii="宋体" w:eastAsia="宋体" w:hAnsi="宋体" w:cs="宋体" w:hint="eastAsia"/>
                <w:color w:val="000000"/>
                <w:kern w:val="0"/>
                <w:sz w:val="22"/>
              </w:rPr>
              <w:t>12%</w:t>
            </w:r>
          </w:p>
        </w:tc>
      </w:tr>
      <w:tr w:rsidR="0035189F" w:rsidRPr="002352CC" w:rsidTr="0035189F">
        <w:trPr>
          <w:cnfStyle w:val="000000100000"/>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地产</w:t>
            </w:r>
          </w:p>
        </w:tc>
        <w:tc>
          <w:tcPr>
            <w:tcW w:w="1141" w:type="pct"/>
            <w:noWrap/>
            <w:hideMark/>
          </w:tcPr>
          <w:p w:rsidR="0035189F" w:rsidRPr="002352CC" w:rsidRDefault="0035189F" w:rsidP="0035189F">
            <w:pPr>
              <w:widowControl/>
              <w:jc w:val="right"/>
              <w:cnfStyle w:val="000000100000"/>
              <w:rPr>
                <w:rFonts w:ascii="宋体" w:eastAsia="宋体" w:hAnsi="宋体" w:cs="宋体"/>
                <w:color w:val="000000"/>
                <w:kern w:val="0"/>
                <w:sz w:val="22"/>
              </w:rPr>
            </w:pPr>
            <w:r w:rsidRPr="002352CC">
              <w:rPr>
                <w:rFonts w:ascii="宋体" w:eastAsia="宋体" w:hAnsi="宋体" w:cs="宋体" w:hint="eastAsia"/>
                <w:color w:val="000000"/>
                <w:kern w:val="0"/>
                <w:sz w:val="22"/>
              </w:rPr>
              <w:t>2%</w:t>
            </w:r>
          </w:p>
        </w:tc>
      </w:tr>
      <w:tr w:rsidR="0035189F" w:rsidRPr="002352CC" w:rsidTr="0035189F">
        <w:trPr>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金融</w:t>
            </w:r>
          </w:p>
        </w:tc>
        <w:tc>
          <w:tcPr>
            <w:tcW w:w="1141" w:type="pct"/>
            <w:noWrap/>
            <w:hideMark/>
          </w:tcPr>
          <w:p w:rsidR="0035189F" w:rsidRPr="002352CC" w:rsidRDefault="0035189F" w:rsidP="0035189F">
            <w:pPr>
              <w:widowControl/>
              <w:jc w:val="right"/>
              <w:cnfStyle w:val="000000000000"/>
              <w:rPr>
                <w:rFonts w:ascii="宋体" w:eastAsia="宋体" w:hAnsi="宋体" w:cs="宋体"/>
                <w:color w:val="000000"/>
                <w:kern w:val="0"/>
                <w:sz w:val="22"/>
              </w:rPr>
            </w:pPr>
            <w:r w:rsidRPr="002352CC">
              <w:rPr>
                <w:rFonts w:ascii="宋体" w:eastAsia="宋体" w:hAnsi="宋体" w:cs="宋体" w:hint="eastAsia"/>
                <w:color w:val="000000"/>
                <w:kern w:val="0"/>
                <w:sz w:val="22"/>
              </w:rPr>
              <w:t>22%</w:t>
            </w:r>
          </w:p>
        </w:tc>
      </w:tr>
      <w:tr w:rsidR="0035189F" w:rsidRPr="002352CC" w:rsidTr="0035189F">
        <w:trPr>
          <w:cnfStyle w:val="000000100000"/>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信息技术</w:t>
            </w:r>
          </w:p>
        </w:tc>
        <w:tc>
          <w:tcPr>
            <w:tcW w:w="1141" w:type="pct"/>
            <w:noWrap/>
            <w:hideMark/>
          </w:tcPr>
          <w:p w:rsidR="0035189F" w:rsidRPr="002352CC" w:rsidRDefault="0035189F" w:rsidP="0035189F">
            <w:pPr>
              <w:widowControl/>
              <w:jc w:val="right"/>
              <w:cnfStyle w:val="000000100000"/>
              <w:rPr>
                <w:rFonts w:ascii="宋体" w:eastAsia="宋体" w:hAnsi="宋体" w:cs="宋体"/>
                <w:color w:val="000000"/>
                <w:kern w:val="0"/>
                <w:sz w:val="22"/>
              </w:rPr>
            </w:pPr>
            <w:r w:rsidRPr="002352CC">
              <w:rPr>
                <w:rFonts w:ascii="宋体" w:eastAsia="宋体" w:hAnsi="宋体" w:cs="宋体" w:hint="eastAsia"/>
                <w:color w:val="000000"/>
                <w:kern w:val="0"/>
                <w:sz w:val="22"/>
              </w:rPr>
              <w:t>15%</w:t>
            </w:r>
          </w:p>
        </w:tc>
      </w:tr>
      <w:tr w:rsidR="0035189F" w:rsidRPr="002352CC" w:rsidTr="0035189F">
        <w:trPr>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通讯服务</w:t>
            </w:r>
          </w:p>
        </w:tc>
        <w:tc>
          <w:tcPr>
            <w:tcW w:w="1141" w:type="pct"/>
            <w:noWrap/>
            <w:hideMark/>
          </w:tcPr>
          <w:p w:rsidR="0035189F" w:rsidRPr="002352CC" w:rsidRDefault="0035189F" w:rsidP="0035189F">
            <w:pPr>
              <w:widowControl/>
              <w:jc w:val="right"/>
              <w:cnfStyle w:val="000000000000"/>
              <w:rPr>
                <w:rFonts w:ascii="宋体" w:eastAsia="宋体" w:hAnsi="宋体" w:cs="宋体"/>
                <w:color w:val="000000"/>
                <w:kern w:val="0"/>
                <w:sz w:val="22"/>
              </w:rPr>
            </w:pPr>
            <w:r w:rsidRPr="002352CC">
              <w:rPr>
                <w:rFonts w:ascii="宋体" w:eastAsia="宋体" w:hAnsi="宋体" w:cs="宋体" w:hint="eastAsia"/>
                <w:color w:val="000000"/>
                <w:kern w:val="0"/>
                <w:sz w:val="22"/>
              </w:rPr>
              <w:t>4%</w:t>
            </w:r>
          </w:p>
        </w:tc>
      </w:tr>
      <w:tr w:rsidR="0035189F" w:rsidRPr="002352CC" w:rsidTr="0035189F">
        <w:trPr>
          <w:cnfStyle w:val="000000100000"/>
          <w:trHeight w:val="270"/>
        </w:trPr>
        <w:tc>
          <w:tcPr>
            <w:cnfStyle w:val="001000000000"/>
            <w:tcW w:w="3859" w:type="pct"/>
            <w:noWrap/>
            <w:hideMark/>
          </w:tcPr>
          <w:p w:rsidR="0035189F" w:rsidRPr="002352CC" w:rsidRDefault="0035189F" w:rsidP="0035189F">
            <w:pPr>
              <w:widowControl/>
              <w:jc w:val="left"/>
              <w:rPr>
                <w:rFonts w:ascii="宋体" w:eastAsia="宋体" w:hAnsi="宋体" w:cs="宋体"/>
                <w:color w:val="000000"/>
                <w:kern w:val="0"/>
                <w:sz w:val="22"/>
              </w:rPr>
            </w:pPr>
            <w:r w:rsidRPr="002352CC">
              <w:rPr>
                <w:rFonts w:ascii="宋体" w:eastAsia="宋体" w:hAnsi="宋体" w:cs="宋体" w:hint="eastAsia"/>
                <w:color w:val="000000"/>
                <w:kern w:val="0"/>
                <w:sz w:val="22"/>
              </w:rPr>
              <w:t>公共事业</w:t>
            </w:r>
          </w:p>
        </w:tc>
        <w:tc>
          <w:tcPr>
            <w:tcW w:w="1141" w:type="pct"/>
            <w:noWrap/>
            <w:hideMark/>
          </w:tcPr>
          <w:p w:rsidR="0035189F" w:rsidRPr="002352CC" w:rsidRDefault="0035189F" w:rsidP="0035189F">
            <w:pPr>
              <w:widowControl/>
              <w:jc w:val="right"/>
              <w:cnfStyle w:val="000000100000"/>
              <w:rPr>
                <w:rFonts w:ascii="宋体" w:eastAsia="宋体" w:hAnsi="宋体" w:cs="宋体"/>
                <w:color w:val="000000"/>
                <w:kern w:val="0"/>
                <w:sz w:val="22"/>
              </w:rPr>
            </w:pPr>
            <w:r w:rsidRPr="002352CC">
              <w:rPr>
                <w:rFonts w:ascii="宋体" w:eastAsia="宋体" w:hAnsi="宋体" w:cs="宋体" w:hint="eastAsia"/>
                <w:color w:val="000000"/>
                <w:kern w:val="0"/>
                <w:sz w:val="22"/>
              </w:rPr>
              <w:t>2%</w:t>
            </w:r>
          </w:p>
        </w:tc>
      </w:tr>
    </w:tbl>
    <w:p w:rsidR="0035189F" w:rsidRDefault="0035189F" w:rsidP="0035189F"/>
    <w:p w:rsidR="0035189F" w:rsidRDefault="0035189F" w:rsidP="0035189F"/>
    <w:p w:rsidR="0035189F" w:rsidRDefault="0035189F" w:rsidP="0035189F"/>
    <w:p w:rsidR="0035189F" w:rsidRDefault="0035189F" w:rsidP="0035189F"/>
    <w:p w:rsidR="0035189F" w:rsidRDefault="0035189F" w:rsidP="0035189F"/>
    <w:p w:rsidR="0035189F" w:rsidRDefault="0035189F" w:rsidP="0035189F"/>
    <w:p w:rsidR="0035189F" w:rsidRDefault="0035189F" w:rsidP="0035189F"/>
    <w:p w:rsidR="00927D92" w:rsidRDefault="00927D92" w:rsidP="0035189F"/>
    <w:p w:rsidR="00927D92" w:rsidRDefault="00927D92" w:rsidP="0035189F"/>
    <w:p w:rsidR="00927D92" w:rsidRDefault="00927D92" w:rsidP="0035189F"/>
    <w:p w:rsidR="00927D92" w:rsidRDefault="00927D92" w:rsidP="0035189F"/>
    <w:p w:rsidR="00927D92" w:rsidRDefault="00927D92" w:rsidP="0035189F"/>
    <w:p w:rsidR="00927D92" w:rsidRDefault="00927D92" w:rsidP="0035189F"/>
    <w:p w:rsidR="00927D92" w:rsidRPr="00304198" w:rsidRDefault="00927D92" w:rsidP="00927D92">
      <w:pPr>
        <w:rPr>
          <w:sz w:val="18"/>
          <w:szCs w:val="18"/>
        </w:rPr>
      </w:pPr>
      <w:r>
        <w:rPr>
          <w:rFonts w:hint="eastAsia"/>
          <w:sz w:val="18"/>
          <w:szCs w:val="18"/>
        </w:rPr>
        <w:t>资料</w:t>
      </w:r>
      <w:r w:rsidRPr="00304198">
        <w:rPr>
          <w:sz w:val="18"/>
          <w:szCs w:val="18"/>
        </w:rPr>
        <w:t>来源：</w:t>
      </w:r>
      <w:r w:rsidRPr="00304198">
        <w:rPr>
          <w:sz w:val="18"/>
          <w:szCs w:val="18"/>
        </w:rPr>
        <w:t>Future Fund Annual Report 2016-17</w:t>
      </w:r>
      <w:r>
        <w:rPr>
          <w:rFonts w:hint="eastAsia"/>
          <w:sz w:val="18"/>
          <w:szCs w:val="18"/>
        </w:rPr>
        <w:t>。</w:t>
      </w:r>
    </w:p>
    <w:p w:rsidR="00927D92" w:rsidRDefault="00927D92" w:rsidP="0035189F"/>
    <w:p w:rsidR="00304198" w:rsidRDefault="00356A63" w:rsidP="00927D92">
      <w:r>
        <w:rPr>
          <w:rFonts w:hint="eastAsia"/>
        </w:rPr>
        <w:t>从</w:t>
      </w:r>
      <w:r>
        <w:t>资产配置结构上可以看到，</w:t>
      </w:r>
      <w:r>
        <w:rPr>
          <w:rFonts w:hint="eastAsia"/>
        </w:rPr>
        <w:t>未来</w:t>
      </w:r>
      <w:r>
        <w:t>基金</w:t>
      </w:r>
      <w:r>
        <w:rPr>
          <w:rFonts w:hint="eastAsia"/>
        </w:rPr>
        <w:t>的</w:t>
      </w:r>
      <w:r>
        <w:t>投资既表现出</w:t>
      </w:r>
      <w:r>
        <w:rPr>
          <w:rFonts w:hint="eastAsia"/>
        </w:rPr>
        <w:t>长期</w:t>
      </w:r>
      <w:r>
        <w:t>投资的特点，又保留了很多的现金</w:t>
      </w:r>
      <w:r w:rsidR="0036424F">
        <w:rPr>
          <w:rFonts w:hint="eastAsia"/>
        </w:rPr>
        <w:t>，</w:t>
      </w:r>
      <w:r>
        <w:rPr>
          <w:rFonts w:hint="eastAsia"/>
        </w:rPr>
        <w:t>未来基金有</w:t>
      </w:r>
      <w:r>
        <w:rPr>
          <w:rFonts w:hint="eastAsia"/>
        </w:rPr>
        <w:t>12</w:t>
      </w:r>
      <w:r>
        <w:t>%</w:t>
      </w:r>
      <w:r>
        <w:t>的私募股权投资、</w:t>
      </w:r>
      <w:r>
        <w:rPr>
          <w:rFonts w:hint="eastAsia"/>
        </w:rPr>
        <w:t>14</w:t>
      </w:r>
      <w:r>
        <w:t>%</w:t>
      </w:r>
      <w:r>
        <w:t>的地产和基础设施投资、还有高达</w:t>
      </w:r>
      <w:r>
        <w:rPr>
          <w:rFonts w:hint="eastAsia"/>
        </w:rPr>
        <w:t>15</w:t>
      </w:r>
      <w:r>
        <w:t>%</w:t>
      </w:r>
      <w:r>
        <w:t>的另类资产投资；另一方面，未来</w:t>
      </w:r>
      <w:r>
        <w:rPr>
          <w:rFonts w:hint="eastAsia"/>
        </w:rPr>
        <w:t>基金</w:t>
      </w:r>
      <w:r>
        <w:t>保留了</w:t>
      </w:r>
      <w:r>
        <w:rPr>
          <w:rFonts w:hint="eastAsia"/>
        </w:rPr>
        <w:t>20</w:t>
      </w:r>
      <w:r>
        <w:t>%</w:t>
      </w:r>
      <w:r>
        <w:t>的现金以增强</w:t>
      </w:r>
      <w:r>
        <w:rPr>
          <w:rFonts w:hint="eastAsia"/>
        </w:rPr>
        <w:t>基金</w:t>
      </w:r>
      <w:r>
        <w:t>的</w:t>
      </w:r>
      <w:r>
        <w:rPr>
          <w:rFonts w:hint="eastAsia"/>
        </w:rPr>
        <w:t>投资</w:t>
      </w:r>
      <w:r>
        <w:t>灵活性</w:t>
      </w:r>
      <w:r w:rsidR="00A55A78">
        <w:rPr>
          <w:rFonts w:hint="eastAsia"/>
        </w:rPr>
        <w:t>（见图</w:t>
      </w:r>
      <w:r w:rsidR="00A55A78">
        <w:rPr>
          <w:rFonts w:hint="eastAsia"/>
        </w:rPr>
        <w:t>5</w:t>
      </w:r>
      <w:r w:rsidR="00A55A78">
        <w:rPr>
          <w:rFonts w:hint="eastAsia"/>
        </w:rPr>
        <w:t>）</w:t>
      </w:r>
      <w:r>
        <w:t>。基于对</w:t>
      </w:r>
      <w:r>
        <w:rPr>
          <w:rFonts w:hint="eastAsia"/>
        </w:rPr>
        <w:t>2016</w:t>
      </w:r>
      <w:r>
        <w:t>-2017</w:t>
      </w:r>
      <w:r>
        <w:rPr>
          <w:rFonts w:hint="eastAsia"/>
        </w:rPr>
        <w:t>年</w:t>
      </w:r>
      <w:r>
        <w:t>市场环境</w:t>
      </w:r>
      <w:r>
        <w:rPr>
          <w:rFonts w:hint="eastAsia"/>
        </w:rPr>
        <w:t>的</w:t>
      </w:r>
      <w:r>
        <w:t>判断</w:t>
      </w:r>
      <w:r w:rsidR="00A00D0E">
        <w:rPr>
          <w:rFonts w:hint="eastAsia"/>
        </w:rPr>
        <w:t>，</w:t>
      </w:r>
      <w:r w:rsidR="009D0AF3">
        <w:rPr>
          <w:rFonts w:hint="eastAsia"/>
        </w:rPr>
        <w:t>未来基金目前</w:t>
      </w:r>
      <w:r w:rsidR="009D0AF3">
        <w:t>的主要</w:t>
      </w:r>
      <w:r w:rsidR="009D0AF3">
        <w:rPr>
          <w:rFonts w:hint="eastAsia"/>
        </w:rPr>
        <w:t>策略</w:t>
      </w:r>
      <w:r w:rsidR="009D0AF3">
        <w:t>是</w:t>
      </w:r>
      <w:r>
        <w:t>：</w:t>
      </w:r>
      <w:r>
        <w:rPr>
          <w:rFonts w:hint="eastAsia"/>
        </w:rPr>
        <w:t>1</w:t>
      </w:r>
      <w:r>
        <w:rPr>
          <w:rFonts w:hint="eastAsia"/>
        </w:rPr>
        <w:t>、</w:t>
      </w:r>
      <w:r>
        <w:t>高风险资产的收益率低</w:t>
      </w:r>
      <w:r>
        <w:lastRenderedPageBreak/>
        <w:t>于</w:t>
      </w:r>
      <w:r w:rsidR="009D0AF3">
        <w:rPr>
          <w:rFonts w:hint="eastAsia"/>
        </w:rPr>
        <w:t>历史</w:t>
      </w:r>
      <w:r>
        <w:t>平均水平，维持较低的风险敞口；</w:t>
      </w:r>
      <w:r>
        <w:rPr>
          <w:rFonts w:hint="eastAsia"/>
        </w:rPr>
        <w:t>2</w:t>
      </w:r>
      <w:r>
        <w:rPr>
          <w:rFonts w:hint="eastAsia"/>
        </w:rPr>
        <w:t>、</w:t>
      </w:r>
      <w:r>
        <w:t>保持较高的投资组合的灵活度；</w:t>
      </w:r>
      <w:r>
        <w:rPr>
          <w:rFonts w:hint="eastAsia"/>
        </w:rPr>
        <w:t>3</w:t>
      </w:r>
      <w:r>
        <w:rPr>
          <w:rFonts w:hint="eastAsia"/>
        </w:rPr>
        <w:t>、选择</w:t>
      </w:r>
      <w:r>
        <w:t>相关性较低的</w:t>
      </w:r>
      <w:r>
        <w:rPr>
          <w:rFonts w:hint="eastAsia"/>
        </w:rPr>
        <w:t>风险</w:t>
      </w:r>
      <w:r>
        <w:t>资</w:t>
      </w:r>
      <w:r w:rsidR="00927D92">
        <w:rPr>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449580</wp:posOffset>
            </wp:positionV>
            <wp:extent cx="5289550" cy="3078480"/>
            <wp:effectExtent l="0" t="0" r="0" b="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t>产</w:t>
      </w:r>
      <w:r w:rsidR="00102624">
        <w:rPr>
          <w:rFonts w:hint="eastAsia"/>
        </w:rPr>
        <w:t>以</w:t>
      </w:r>
      <w:r>
        <w:t>减少风险</w:t>
      </w:r>
      <w:r>
        <w:rPr>
          <w:rFonts w:hint="eastAsia"/>
        </w:rPr>
        <w:t>。</w:t>
      </w:r>
    </w:p>
    <w:p w:rsidR="00927D92" w:rsidRDefault="00927D92" w:rsidP="00927D92">
      <w:pPr>
        <w:jc w:val="center"/>
      </w:pPr>
    </w:p>
    <w:p w:rsidR="00927D92" w:rsidRPr="00927D92" w:rsidRDefault="00927D92" w:rsidP="00927D92">
      <w:pPr>
        <w:jc w:val="center"/>
        <w:rPr>
          <w:b/>
        </w:rPr>
      </w:pPr>
      <w:r w:rsidRPr="00927D92">
        <w:rPr>
          <w:rFonts w:hint="eastAsia"/>
          <w:b/>
        </w:rPr>
        <w:t>图</w:t>
      </w:r>
      <w:r w:rsidRPr="00927D92">
        <w:rPr>
          <w:rFonts w:hint="eastAsia"/>
          <w:b/>
        </w:rPr>
        <w:t xml:space="preserve">5 </w:t>
      </w:r>
      <w:r w:rsidRPr="00927D92">
        <w:rPr>
          <w:rFonts w:hint="eastAsia"/>
          <w:b/>
        </w:rPr>
        <w:t>澳大利亚未来基金资产配置</w:t>
      </w:r>
    </w:p>
    <w:p w:rsidR="00927D92" w:rsidRPr="00927D92" w:rsidRDefault="00927D92" w:rsidP="00927D92">
      <w:pPr>
        <w:ind w:firstLine="420"/>
        <w:jc w:val="center"/>
        <w:rPr>
          <w:noProof/>
        </w:rPr>
      </w:pPr>
      <w:r w:rsidRPr="00927D92">
        <w:rPr>
          <w:rFonts w:hint="eastAsia"/>
          <w:noProof/>
        </w:rPr>
        <w:t>资料</w:t>
      </w:r>
      <w:r w:rsidRPr="00927D92">
        <w:rPr>
          <w:noProof/>
        </w:rPr>
        <w:t>来源：</w:t>
      </w:r>
      <w:r w:rsidRPr="00927D92">
        <w:rPr>
          <w:noProof/>
        </w:rPr>
        <w:t>Future Fund Annual Report 2016-17</w:t>
      </w:r>
      <w:r w:rsidRPr="00927D92">
        <w:rPr>
          <w:rFonts w:hint="eastAsia"/>
          <w:noProof/>
        </w:rPr>
        <w:t>。</w:t>
      </w:r>
    </w:p>
    <w:p w:rsidR="00927D92" w:rsidRDefault="00927D92" w:rsidP="00A00D0E"/>
    <w:p w:rsidR="00356A63" w:rsidRPr="00C04E41" w:rsidRDefault="00356A63" w:rsidP="00356A63">
      <w:r>
        <w:rPr>
          <w:rFonts w:hint="eastAsia"/>
        </w:rPr>
        <w:t>未来</w:t>
      </w:r>
      <w:r>
        <w:t>基金用于管理基金风险</w:t>
      </w:r>
      <w:r>
        <w:rPr>
          <w:rFonts w:hint="eastAsia"/>
        </w:rPr>
        <w:t>的</w:t>
      </w:r>
      <w:r>
        <w:t>主要指标是</w:t>
      </w:r>
      <w:r>
        <w:rPr>
          <w:rFonts w:hint="eastAsia"/>
        </w:rPr>
        <w:t>股票</w:t>
      </w:r>
      <w:r>
        <w:t>等价敞口（</w:t>
      </w:r>
      <w:r>
        <w:rPr>
          <w:rFonts w:hint="eastAsia"/>
        </w:rPr>
        <w:t>Equivalent</w:t>
      </w:r>
      <w:r>
        <w:t xml:space="preserve"> Equity Exposure</w:t>
      </w:r>
      <w:r>
        <w:t>，</w:t>
      </w:r>
      <w:r>
        <w:t>EEE</w:t>
      </w:r>
      <w:r>
        <w:t>）</w:t>
      </w:r>
      <w:r>
        <w:rPr>
          <w:rFonts w:hint="eastAsia"/>
        </w:rPr>
        <w:t>，</w:t>
      </w:r>
      <w:r>
        <w:rPr>
          <w:rFonts w:hint="eastAsia"/>
        </w:rPr>
        <w:t>EEE</w:t>
      </w:r>
      <w:r w:rsidR="00102624">
        <w:rPr>
          <w:rFonts w:hint="eastAsia"/>
        </w:rPr>
        <w:t>主要</w:t>
      </w:r>
      <w:r>
        <w:rPr>
          <w:rFonts w:hint="eastAsia"/>
        </w:rPr>
        <w:t>衡量</w:t>
      </w:r>
      <w:r>
        <w:t>基金对全球股票市场</w:t>
      </w:r>
      <w:r>
        <w:rPr>
          <w:rFonts w:hint="eastAsia"/>
        </w:rPr>
        <w:t>价格</w:t>
      </w:r>
      <w:r>
        <w:t>波动的</w:t>
      </w:r>
      <w:r>
        <w:rPr>
          <w:rFonts w:hint="eastAsia"/>
        </w:rPr>
        <w:t>敏感</w:t>
      </w:r>
      <w:r>
        <w:t>程度。</w:t>
      </w:r>
      <w:r>
        <w:rPr>
          <w:rFonts w:hint="eastAsia"/>
        </w:rPr>
        <w:t>对于</w:t>
      </w:r>
      <w:r>
        <w:t>EEE</w:t>
      </w:r>
      <w:r>
        <w:t>为</w:t>
      </w:r>
      <w:r>
        <w:rPr>
          <w:rFonts w:hint="eastAsia"/>
        </w:rPr>
        <w:t>50</w:t>
      </w:r>
      <w:r>
        <w:rPr>
          <w:rFonts w:hint="eastAsia"/>
        </w:rPr>
        <w:t>的</w:t>
      </w:r>
      <w:r>
        <w:t>投资组合，理解为由</w:t>
      </w:r>
      <w:r>
        <w:rPr>
          <w:rFonts w:hint="eastAsia"/>
        </w:rPr>
        <w:t>50%</w:t>
      </w:r>
      <w:r>
        <w:rPr>
          <w:rFonts w:hint="eastAsia"/>
        </w:rPr>
        <w:t>的</w:t>
      </w:r>
      <w:r>
        <w:t>现金和</w:t>
      </w:r>
      <w:r>
        <w:rPr>
          <w:rFonts w:hint="eastAsia"/>
        </w:rPr>
        <w:t>50</w:t>
      </w:r>
      <w:r>
        <w:t>%</w:t>
      </w:r>
      <w:r>
        <w:t>的全球股票组成；未来基金对</w:t>
      </w:r>
      <w:r>
        <w:t>EEE</w:t>
      </w:r>
      <w:r>
        <w:rPr>
          <w:rFonts w:hint="eastAsia"/>
        </w:rPr>
        <w:t>设定</w:t>
      </w:r>
      <w:r>
        <w:t>为</w:t>
      </w:r>
      <w:r>
        <w:rPr>
          <w:rFonts w:hint="eastAsia"/>
        </w:rPr>
        <w:t>40</w:t>
      </w:r>
      <w:r>
        <w:t>-60</w:t>
      </w:r>
      <w:r>
        <w:rPr>
          <w:rFonts w:hint="eastAsia"/>
        </w:rPr>
        <w:t>,2016</w:t>
      </w:r>
      <w:r>
        <w:t>-2017</w:t>
      </w:r>
      <w:r>
        <w:rPr>
          <w:rFonts w:hint="eastAsia"/>
        </w:rPr>
        <w:t>年</w:t>
      </w:r>
      <w:r>
        <w:t>的平均</w:t>
      </w:r>
      <w:r>
        <w:t>EEE</w:t>
      </w:r>
      <w:r>
        <w:t>为</w:t>
      </w:r>
      <w:r>
        <w:rPr>
          <w:rFonts w:hint="eastAsia"/>
        </w:rPr>
        <w:t>48</w:t>
      </w:r>
      <w:r>
        <w:rPr>
          <w:rFonts w:hint="eastAsia"/>
        </w:rPr>
        <w:t>，略低于</w:t>
      </w:r>
      <w:r>
        <w:t>平均的风险敞口，显示了未来基金对当前投资环境较为谨慎。</w:t>
      </w:r>
    </w:p>
    <w:p w:rsidR="00356A63" w:rsidRPr="006C4ED4" w:rsidRDefault="00A00D0E" w:rsidP="006C4ED4">
      <w:pPr>
        <w:pStyle w:val="2"/>
        <w:rPr>
          <w:sz w:val="28"/>
          <w:szCs w:val="28"/>
        </w:rPr>
      </w:pPr>
      <w:r>
        <w:rPr>
          <w:rStyle w:val="2Char"/>
          <w:rFonts w:hint="eastAsia"/>
          <w:sz w:val="28"/>
          <w:szCs w:val="28"/>
        </w:rPr>
        <w:t>（三）</w:t>
      </w:r>
      <w:r w:rsidR="00356A63" w:rsidRPr="006C4ED4">
        <w:rPr>
          <w:rFonts w:hint="eastAsia"/>
          <w:sz w:val="28"/>
          <w:szCs w:val="28"/>
        </w:rPr>
        <w:t>澳大利亚</w:t>
      </w:r>
      <w:r w:rsidR="00356A63" w:rsidRPr="006C4ED4">
        <w:rPr>
          <w:sz w:val="28"/>
          <w:szCs w:val="28"/>
        </w:rPr>
        <w:t>未来基金的投资收益</w:t>
      </w:r>
    </w:p>
    <w:p w:rsidR="00356A63" w:rsidRDefault="00356A63" w:rsidP="00356A63">
      <w:r>
        <w:rPr>
          <w:rFonts w:hint="eastAsia"/>
        </w:rPr>
        <w:t>未来基金</w:t>
      </w:r>
      <w:r>
        <w:t>的</w:t>
      </w:r>
      <w:r>
        <w:t>2016-2017</w:t>
      </w:r>
      <w:r>
        <w:rPr>
          <w:rFonts w:hint="eastAsia"/>
        </w:rPr>
        <w:t>的</w:t>
      </w:r>
      <w:r>
        <w:t>投资</w:t>
      </w:r>
      <w:r>
        <w:rPr>
          <w:rFonts w:hint="eastAsia"/>
        </w:rPr>
        <w:t>带来</w:t>
      </w:r>
      <w:r>
        <w:t>的</w:t>
      </w:r>
      <w:r w:rsidR="002739B1">
        <w:rPr>
          <w:rFonts w:hint="eastAsia"/>
        </w:rPr>
        <w:t>收益</w:t>
      </w:r>
      <w:r>
        <w:t>为</w:t>
      </w:r>
      <w:r>
        <w:rPr>
          <w:rFonts w:hint="eastAsia"/>
        </w:rPr>
        <w:t>1335</w:t>
      </w:r>
      <w:r>
        <w:rPr>
          <w:rFonts w:hint="eastAsia"/>
        </w:rPr>
        <w:t>亿</w:t>
      </w:r>
      <w:r>
        <w:t>澳元，投资</w:t>
      </w:r>
      <w:r w:rsidR="002739B1">
        <w:rPr>
          <w:rFonts w:hint="eastAsia"/>
        </w:rPr>
        <w:t>收益</w:t>
      </w:r>
      <w:r>
        <w:t>率为</w:t>
      </w:r>
      <w:r>
        <w:rPr>
          <w:rFonts w:hint="eastAsia"/>
        </w:rPr>
        <w:t>8.7</w:t>
      </w:r>
      <w:r>
        <w:t>%</w:t>
      </w:r>
      <w:r>
        <w:rPr>
          <w:rFonts w:hint="eastAsia"/>
        </w:rPr>
        <w:t>，</w:t>
      </w:r>
      <w:r>
        <w:t>超过业绩比较基准</w:t>
      </w:r>
      <w:r>
        <w:rPr>
          <w:rFonts w:hint="eastAsia"/>
        </w:rPr>
        <w:t>（</w:t>
      </w:r>
      <w:r>
        <w:rPr>
          <w:rFonts w:hint="eastAsia"/>
        </w:rPr>
        <w:t>CIP</w:t>
      </w:r>
      <w:r>
        <w:t>+4.5%</w:t>
      </w:r>
      <w:r>
        <w:rPr>
          <w:rFonts w:hint="eastAsia"/>
        </w:rPr>
        <w:t>）</w:t>
      </w:r>
      <w:r>
        <w:rPr>
          <w:rFonts w:hint="eastAsia"/>
        </w:rPr>
        <w:t>2.3</w:t>
      </w:r>
      <w:r w:rsidR="00A00D0E">
        <w:rPr>
          <w:rFonts w:hint="eastAsia"/>
        </w:rPr>
        <w:t>个百分点</w:t>
      </w:r>
      <w:r>
        <w:rPr>
          <w:rFonts w:hint="eastAsia"/>
        </w:rPr>
        <w:t>；最近</w:t>
      </w:r>
      <w:r>
        <w:rPr>
          <w:rFonts w:hint="eastAsia"/>
        </w:rPr>
        <w:t>5</w:t>
      </w:r>
      <w:r>
        <w:rPr>
          <w:rFonts w:hint="eastAsia"/>
        </w:rPr>
        <w:t>年</w:t>
      </w:r>
      <w:r>
        <w:t>的</w:t>
      </w:r>
      <w:r>
        <w:rPr>
          <w:rFonts w:hint="eastAsia"/>
        </w:rPr>
        <w:t>年均</w:t>
      </w:r>
      <w:r>
        <w:t>投资</w:t>
      </w:r>
      <w:r w:rsidR="002739B1">
        <w:rPr>
          <w:rFonts w:hint="eastAsia"/>
        </w:rPr>
        <w:t>收益</w:t>
      </w:r>
      <w:r>
        <w:t>率</w:t>
      </w:r>
      <w:r>
        <w:rPr>
          <w:rFonts w:hint="eastAsia"/>
        </w:rPr>
        <w:t>11.6</w:t>
      </w:r>
      <w:r>
        <w:t>%</w:t>
      </w:r>
      <w:r>
        <w:t>，超过业绩比较基准</w:t>
      </w:r>
      <w:r>
        <w:rPr>
          <w:rFonts w:hint="eastAsia"/>
        </w:rPr>
        <w:t>5.1</w:t>
      </w:r>
      <w:r w:rsidR="00A00D0E">
        <w:rPr>
          <w:rFonts w:hint="eastAsia"/>
        </w:rPr>
        <w:t>个百分点</w:t>
      </w:r>
      <w:r>
        <w:t>；最近</w:t>
      </w:r>
      <w:r>
        <w:rPr>
          <w:rFonts w:hint="eastAsia"/>
        </w:rPr>
        <w:t>10</w:t>
      </w:r>
      <w:r>
        <w:rPr>
          <w:rFonts w:hint="eastAsia"/>
        </w:rPr>
        <w:t>年</w:t>
      </w:r>
      <w:r>
        <w:t>的投资</w:t>
      </w:r>
      <w:r w:rsidR="002739B1">
        <w:rPr>
          <w:rFonts w:hint="eastAsia"/>
        </w:rPr>
        <w:t>收益</w:t>
      </w:r>
      <w:r>
        <w:t>率</w:t>
      </w:r>
      <w:r>
        <w:rPr>
          <w:rFonts w:hint="eastAsia"/>
        </w:rPr>
        <w:t>7.9</w:t>
      </w:r>
      <w:r>
        <w:t>%</w:t>
      </w:r>
      <w:r>
        <w:t>，超过业绩比较基准</w:t>
      </w:r>
      <w:r>
        <w:t>1</w:t>
      </w:r>
      <w:r w:rsidR="00A00D0E">
        <w:rPr>
          <w:rFonts w:hint="eastAsia"/>
        </w:rPr>
        <w:t>个百分点（见表</w:t>
      </w:r>
      <w:r w:rsidR="00A00D0E">
        <w:rPr>
          <w:rFonts w:hint="eastAsia"/>
        </w:rPr>
        <w:t>14</w:t>
      </w:r>
      <w:r w:rsidR="00A00D0E">
        <w:rPr>
          <w:rFonts w:hint="eastAsia"/>
        </w:rPr>
        <w:t>）</w:t>
      </w:r>
      <w:r>
        <w:rPr>
          <w:rFonts w:hint="eastAsia"/>
        </w:rPr>
        <w:t>。</w:t>
      </w:r>
    </w:p>
    <w:p w:rsidR="003D203F" w:rsidRPr="00CE111B" w:rsidRDefault="003D203F" w:rsidP="00356A63"/>
    <w:p w:rsidR="00FC3FF6" w:rsidRDefault="00FC3FF6" w:rsidP="004002FA">
      <w:pPr>
        <w:pStyle w:val="af"/>
        <w:keepNext/>
        <w:jc w:val="center"/>
      </w:pPr>
      <w:r>
        <w:rPr>
          <w:rFonts w:hint="eastAsia"/>
        </w:rPr>
        <w:t>表</w:t>
      </w:r>
      <w:r>
        <w:rPr>
          <w:rFonts w:hint="eastAsia"/>
        </w:rPr>
        <w:t xml:space="preserve"> </w:t>
      </w:r>
      <w:r w:rsidR="009D2541">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rsidR="009D2541">
        <w:fldChar w:fldCharType="separate"/>
      </w:r>
      <w:r w:rsidR="003559DA">
        <w:rPr>
          <w:noProof/>
        </w:rPr>
        <w:t>14</w:t>
      </w:r>
      <w:r w:rsidR="009D2541">
        <w:fldChar w:fldCharType="end"/>
      </w:r>
      <w:r>
        <w:t xml:space="preserve"> </w:t>
      </w:r>
      <w:r>
        <w:rPr>
          <w:rFonts w:hint="eastAsia"/>
        </w:rPr>
        <w:t>澳大利亚未来基金</w:t>
      </w:r>
      <w:r>
        <w:t>成立</w:t>
      </w:r>
      <w:r>
        <w:rPr>
          <w:rFonts w:hint="eastAsia"/>
        </w:rPr>
        <w:t>以来投资收益</w:t>
      </w:r>
      <w:r>
        <w:t>情况</w:t>
      </w:r>
    </w:p>
    <w:p w:rsidR="00A00D0E" w:rsidRPr="00A00D0E" w:rsidRDefault="00A00D0E" w:rsidP="00A00D0E">
      <w:pPr>
        <w:jc w:val="right"/>
      </w:pPr>
      <w:r>
        <w:rPr>
          <w:rFonts w:hint="eastAsia"/>
        </w:rPr>
        <w:t>单位：</w:t>
      </w:r>
      <w:r>
        <w:rPr>
          <w:rFonts w:hint="eastAsia"/>
        </w:rPr>
        <w:t>%</w:t>
      </w:r>
    </w:p>
    <w:tbl>
      <w:tblPr>
        <w:tblStyle w:val="31"/>
        <w:tblW w:w="7639" w:type="dxa"/>
        <w:jc w:val="center"/>
        <w:tblLook w:val="04A0"/>
      </w:tblPr>
      <w:tblGrid>
        <w:gridCol w:w="1992"/>
        <w:gridCol w:w="2769"/>
        <w:gridCol w:w="2878"/>
      </w:tblGrid>
      <w:tr w:rsidR="00356A63" w:rsidRPr="00CB11B5" w:rsidTr="00927D92">
        <w:trPr>
          <w:cnfStyle w:val="100000000000"/>
          <w:trHeight w:val="251"/>
          <w:jc w:val="center"/>
        </w:trPr>
        <w:tc>
          <w:tcPr>
            <w:cnfStyle w:val="001000000100"/>
            <w:tcW w:w="1992" w:type="dxa"/>
            <w:tcBorders>
              <w:top w:val="single" w:sz="4" w:space="0" w:color="7F7F7F" w:themeColor="text1" w:themeTint="80"/>
              <w:right w:val="single" w:sz="4" w:space="0" w:color="7F7F7F" w:themeColor="text1" w:themeTint="80"/>
            </w:tcBorders>
            <w:noWrap/>
            <w:hideMark/>
          </w:tcPr>
          <w:p w:rsidR="00356A63" w:rsidRPr="00CB11B5" w:rsidRDefault="00356A63" w:rsidP="00927D92">
            <w:pPr>
              <w:widowControl/>
              <w:jc w:val="center"/>
              <w:rPr>
                <w:rFonts w:ascii="宋体" w:eastAsia="宋体" w:hAnsi="宋体" w:cs="宋体"/>
                <w:color w:val="000000"/>
                <w:kern w:val="0"/>
                <w:sz w:val="22"/>
              </w:rPr>
            </w:pPr>
            <w:r w:rsidRPr="00CB11B5">
              <w:rPr>
                <w:rFonts w:ascii="宋体" w:eastAsia="宋体" w:hAnsi="宋体" w:cs="宋体" w:hint="eastAsia"/>
                <w:color w:val="000000"/>
                <w:kern w:val="0"/>
                <w:sz w:val="22"/>
              </w:rPr>
              <w:t>时间</w:t>
            </w:r>
          </w:p>
        </w:tc>
        <w:tc>
          <w:tcPr>
            <w:tcW w:w="2769" w:type="dxa"/>
            <w:tcBorders>
              <w:top w:val="single" w:sz="4" w:space="0" w:color="7F7F7F" w:themeColor="text1" w:themeTint="80"/>
              <w:left w:val="single" w:sz="4" w:space="0" w:color="7F7F7F" w:themeColor="text1" w:themeTint="80"/>
              <w:right w:val="single" w:sz="4" w:space="0" w:color="7F7F7F" w:themeColor="text1" w:themeTint="80"/>
            </w:tcBorders>
            <w:noWrap/>
            <w:hideMark/>
          </w:tcPr>
          <w:p w:rsidR="00356A63" w:rsidRPr="00CB11B5" w:rsidRDefault="00356A63" w:rsidP="00927D92">
            <w:pPr>
              <w:widowControl/>
              <w:jc w:val="center"/>
              <w:cnfStyle w:val="100000000000"/>
              <w:rPr>
                <w:rFonts w:ascii="宋体" w:eastAsia="宋体" w:hAnsi="宋体" w:cs="宋体"/>
                <w:color w:val="000000"/>
                <w:kern w:val="0"/>
                <w:sz w:val="22"/>
              </w:rPr>
            </w:pPr>
            <w:r w:rsidRPr="00CB11B5">
              <w:rPr>
                <w:rFonts w:ascii="宋体" w:eastAsia="宋体" w:hAnsi="宋体" w:cs="宋体" w:hint="eastAsia"/>
                <w:color w:val="000000"/>
                <w:kern w:val="0"/>
                <w:sz w:val="22"/>
              </w:rPr>
              <w:t>投资回报率</w:t>
            </w:r>
          </w:p>
        </w:tc>
        <w:tc>
          <w:tcPr>
            <w:tcW w:w="2878" w:type="dxa"/>
            <w:tcBorders>
              <w:top w:val="single" w:sz="4" w:space="0" w:color="7F7F7F" w:themeColor="text1" w:themeTint="80"/>
              <w:left w:val="single" w:sz="4" w:space="0" w:color="7F7F7F" w:themeColor="text1" w:themeTint="80"/>
            </w:tcBorders>
            <w:noWrap/>
            <w:hideMark/>
          </w:tcPr>
          <w:p w:rsidR="00356A63" w:rsidRPr="00CB11B5" w:rsidRDefault="00356A63" w:rsidP="00927D92">
            <w:pPr>
              <w:widowControl/>
              <w:jc w:val="center"/>
              <w:cnfStyle w:val="100000000000"/>
              <w:rPr>
                <w:rFonts w:ascii="宋体" w:eastAsia="宋体" w:hAnsi="宋体" w:cs="宋体"/>
                <w:color w:val="000000"/>
                <w:kern w:val="0"/>
                <w:sz w:val="22"/>
              </w:rPr>
            </w:pPr>
            <w:r w:rsidRPr="00CB11B5">
              <w:rPr>
                <w:rFonts w:ascii="宋体" w:eastAsia="宋体" w:hAnsi="宋体" w:cs="宋体" w:hint="eastAsia"/>
                <w:color w:val="000000"/>
                <w:kern w:val="0"/>
                <w:sz w:val="22"/>
              </w:rPr>
              <w:t>业绩比较基准</w:t>
            </w:r>
          </w:p>
        </w:tc>
      </w:tr>
      <w:tr w:rsidR="00356A63" w:rsidRPr="00CB11B5" w:rsidTr="00927D92">
        <w:trPr>
          <w:cnfStyle w:val="000000100000"/>
          <w:trHeight w:val="251"/>
          <w:jc w:val="center"/>
        </w:trPr>
        <w:tc>
          <w:tcPr>
            <w:cnfStyle w:val="001000000000"/>
            <w:tcW w:w="1992" w:type="dxa"/>
            <w:tcBorders>
              <w:top w:val="single" w:sz="4" w:space="0" w:color="7F7F7F" w:themeColor="text1" w:themeTint="80"/>
            </w:tcBorders>
            <w:shd w:val="clear" w:color="auto" w:fill="auto"/>
            <w:noWrap/>
            <w:hideMark/>
          </w:tcPr>
          <w:p w:rsidR="00356A63" w:rsidRPr="00927D92" w:rsidRDefault="00356A63" w:rsidP="00927D92">
            <w:pPr>
              <w:widowControl/>
              <w:jc w:val="center"/>
              <w:rPr>
                <w:rFonts w:ascii="宋体" w:eastAsia="宋体" w:hAnsi="宋体" w:cs="宋体"/>
                <w:b w:val="0"/>
                <w:color w:val="000000"/>
                <w:kern w:val="0"/>
                <w:sz w:val="22"/>
              </w:rPr>
            </w:pPr>
            <w:r w:rsidRPr="00927D92">
              <w:rPr>
                <w:rFonts w:ascii="宋体" w:eastAsia="宋体" w:hAnsi="宋体" w:cs="宋体" w:hint="eastAsia"/>
                <w:b w:val="0"/>
                <w:color w:val="000000"/>
                <w:kern w:val="0"/>
                <w:sz w:val="22"/>
              </w:rPr>
              <w:t>一年</w:t>
            </w:r>
          </w:p>
        </w:tc>
        <w:tc>
          <w:tcPr>
            <w:tcW w:w="2769" w:type="dxa"/>
            <w:tcBorders>
              <w:top w:val="single" w:sz="4" w:space="0" w:color="7F7F7F" w:themeColor="text1" w:themeTint="80"/>
              <w:right w:val="single" w:sz="4" w:space="0" w:color="7F7F7F" w:themeColor="text1" w:themeTint="80"/>
            </w:tcBorders>
            <w:shd w:val="clear" w:color="auto" w:fill="auto"/>
            <w:noWrap/>
            <w:hideMark/>
          </w:tcPr>
          <w:p w:rsidR="00356A63" w:rsidRPr="00CB11B5" w:rsidRDefault="00356A63" w:rsidP="00927D92">
            <w:pPr>
              <w:widowControl/>
              <w:jc w:val="center"/>
              <w:cnfStyle w:val="000000100000"/>
              <w:rPr>
                <w:rFonts w:ascii="宋体" w:eastAsia="宋体" w:hAnsi="宋体" w:cs="宋体"/>
                <w:color w:val="000000"/>
                <w:kern w:val="0"/>
                <w:sz w:val="22"/>
              </w:rPr>
            </w:pPr>
            <w:r w:rsidRPr="00CB11B5">
              <w:rPr>
                <w:rFonts w:ascii="宋体" w:eastAsia="宋体" w:hAnsi="宋体" w:cs="宋体" w:hint="eastAsia"/>
                <w:color w:val="000000"/>
                <w:kern w:val="0"/>
                <w:sz w:val="22"/>
              </w:rPr>
              <w:t>8.70</w:t>
            </w:r>
          </w:p>
        </w:tc>
        <w:tc>
          <w:tcPr>
            <w:tcW w:w="2878" w:type="dxa"/>
            <w:tcBorders>
              <w:top w:val="single" w:sz="4" w:space="0" w:color="7F7F7F" w:themeColor="text1" w:themeTint="80"/>
              <w:left w:val="single" w:sz="4" w:space="0" w:color="7F7F7F" w:themeColor="text1" w:themeTint="80"/>
            </w:tcBorders>
            <w:shd w:val="clear" w:color="auto" w:fill="auto"/>
            <w:noWrap/>
            <w:hideMark/>
          </w:tcPr>
          <w:p w:rsidR="00356A63" w:rsidRPr="00CB11B5" w:rsidRDefault="00356A63" w:rsidP="00927D92">
            <w:pPr>
              <w:widowControl/>
              <w:jc w:val="center"/>
              <w:cnfStyle w:val="000000100000"/>
              <w:rPr>
                <w:rFonts w:ascii="宋体" w:eastAsia="宋体" w:hAnsi="宋体" w:cs="宋体"/>
                <w:color w:val="000000"/>
                <w:kern w:val="0"/>
                <w:sz w:val="22"/>
              </w:rPr>
            </w:pPr>
            <w:r w:rsidRPr="00CB11B5">
              <w:rPr>
                <w:rFonts w:ascii="宋体" w:eastAsia="宋体" w:hAnsi="宋体" w:cs="宋体" w:hint="eastAsia"/>
                <w:color w:val="000000"/>
                <w:kern w:val="0"/>
                <w:sz w:val="22"/>
              </w:rPr>
              <w:t>6.40</w:t>
            </w:r>
          </w:p>
        </w:tc>
      </w:tr>
      <w:tr w:rsidR="00356A63" w:rsidRPr="00CB11B5" w:rsidTr="00927D92">
        <w:trPr>
          <w:trHeight w:val="251"/>
          <w:jc w:val="center"/>
        </w:trPr>
        <w:tc>
          <w:tcPr>
            <w:cnfStyle w:val="001000000000"/>
            <w:tcW w:w="1992" w:type="dxa"/>
            <w:shd w:val="clear" w:color="auto" w:fill="auto"/>
            <w:noWrap/>
            <w:hideMark/>
          </w:tcPr>
          <w:p w:rsidR="00356A63" w:rsidRPr="00927D92" w:rsidRDefault="00356A63" w:rsidP="00927D92">
            <w:pPr>
              <w:widowControl/>
              <w:jc w:val="center"/>
              <w:rPr>
                <w:rFonts w:ascii="宋体" w:eastAsia="宋体" w:hAnsi="宋体" w:cs="宋体"/>
                <w:b w:val="0"/>
                <w:color w:val="000000"/>
                <w:kern w:val="0"/>
                <w:sz w:val="22"/>
              </w:rPr>
            </w:pPr>
            <w:r w:rsidRPr="00927D92">
              <w:rPr>
                <w:rFonts w:ascii="宋体" w:eastAsia="宋体" w:hAnsi="宋体" w:cs="宋体" w:hint="eastAsia"/>
                <w:b w:val="0"/>
                <w:color w:val="000000"/>
                <w:kern w:val="0"/>
                <w:sz w:val="22"/>
              </w:rPr>
              <w:t>三年</w:t>
            </w:r>
          </w:p>
        </w:tc>
        <w:tc>
          <w:tcPr>
            <w:tcW w:w="2769" w:type="dxa"/>
            <w:tcBorders>
              <w:right w:val="single" w:sz="4" w:space="0" w:color="7F7F7F" w:themeColor="text1" w:themeTint="80"/>
            </w:tcBorders>
            <w:shd w:val="clear" w:color="auto" w:fill="auto"/>
            <w:noWrap/>
            <w:hideMark/>
          </w:tcPr>
          <w:p w:rsidR="00356A63" w:rsidRPr="00CB11B5" w:rsidRDefault="00356A63" w:rsidP="00927D92">
            <w:pPr>
              <w:widowControl/>
              <w:jc w:val="center"/>
              <w:cnfStyle w:val="000000000000"/>
              <w:rPr>
                <w:rFonts w:ascii="宋体" w:eastAsia="宋体" w:hAnsi="宋体" w:cs="宋体"/>
                <w:color w:val="000000"/>
                <w:kern w:val="0"/>
                <w:sz w:val="22"/>
              </w:rPr>
            </w:pPr>
            <w:r w:rsidRPr="00CB11B5">
              <w:rPr>
                <w:rFonts w:ascii="宋体" w:eastAsia="宋体" w:hAnsi="宋体" w:cs="宋体" w:hint="eastAsia"/>
                <w:color w:val="000000"/>
                <w:kern w:val="0"/>
                <w:sz w:val="22"/>
              </w:rPr>
              <w:t>9.50</w:t>
            </w:r>
          </w:p>
        </w:tc>
        <w:tc>
          <w:tcPr>
            <w:tcW w:w="2878" w:type="dxa"/>
            <w:tcBorders>
              <w:left w:val="single" w:sz="4" w:space="0" w:color="7F7F7F" w:themeColor="text1" w:themeTint="80"/>
            </w:tcBorders>
            <w:shd w:val="clear" w:color="auto" w:fill="auto"/>
            <w:noWrap/>
            <w:hideMark/>
          </w:tcPr>
          <w:p w:rsidR="00356A63" w:rsidRPr="00CB11B5" w:rsidRDefault="00356A63" w:rsidP="00927D92">
            <w:pPr>
              <w:widowControl/>
              <w:jc w:val="center"/>
              <w:cnfStyle w:val="000000000000"/>
              <w:rPr>
                <w:rFonts w:ascii="宋体" w:eastAsia="宋体" w:hAnsi="宋体" w:cs="宋体"/>
                <w:color w:val="000000"/>
                <w:kern w:val="0"/>
                <w:sz w:val="22"/>
              </w:rPr>
            </w:pPr>
            <w:r w:rsidRPr="00CB11B5">
              <w:rPr>
                <w:rFonts w:ascii="宋体" w:eastAsia="宋体" w:hAnsi="宋体" w:cs="宋体" w:hint="eastAsia"/>
                <w:color w:val="000000"/>
                <w:kern w:val="0"/>
                <w:sz w:val="22"/>
              </w:rPr>
              <w:t>6</w:t>
            </w:r>
          </w:p>
        </w:tc>
      </w:tr>
      <w:tr w:rsidR="00356A63" w:rsidRPr="00CB11B5" w:rsidTr="00927D92">
        <w:trPr>
          <w:cnfStyle w:val="000000100000"/>
          <w:trHeight w:val="251"/>
          <w:jc w:val="center"/>
        </w:trPr>
        <w:tc>
          <w:tcPr>
            <w:cnfStyle w:val="001000000000"/>
            <w:tcW w:w="1992" w:type="dxa"/>
            <w:shd w:val="clear" w:color="auto" w:fill="auto"/>
            <w:noWrap/>
            <w:hideMark/>
          </w:tcPr>
          <w:p w:rsidR="00356A63" w:rsidRPr="00927D92" w:rsidRDefault="00356A63" w:rsidP="00927D92">
            <w:pPr>
              <w:widowControl/>
              <w:jc w:val="center"/>
              <w:rPr>
                <w:rFonts w:ascii="宋体" w:eastAsia="宋体" w:hAnsi="宋体" w:cs="宋体"/>
                <w:b w:val="0"/>
                <w:color w:val="000000"/>
                <w:kern w:val="0"/>
                <w:sz w:val="22"/>
              </w:rPr>
            </w:pPr>
            <w:r w:rsidRPr="00927D92">
              <w:rPr>
                <w:rFonts w:ascii="宋体" w:eastAsia="宋体" w:hAnsi="宋体" w:cs="宋体" w:hint="eastAsia"/>
                <w:b w:val="0"/>
                <w:color w:val="000000"/>
                <w:kern w:val="0"/>
                <w:sz w:val="22"/>
              </w:rPr>
              <w:t>五年</w:t>
            </w:r>
          </w:p>
        </w:tc>
        <w:tc>
          <w:tcPr>
            <w:tcW w:w="2769" w:type="dxa"/>
            <w:tcBorders>
              <w:right w:val="single" w:sz="4" w:space="0" w:color="7F7F7F" w:themeColor="text1" w:themeTint="80"/>
            </w:tcBorders>
            <w:shd w:val="clear" w:color="auto" w:fill="auto"/>
            <w:noWrap/>
            <w:hideMark/>
          </w:tcPr>
          <w:p w:rsidR="00356A63" w:rsidRPr="00CB11B5" w:rsidRDefault="00356A63" w:rsidP="00927D92">
            <w:pPr>
              <w:widowControl/>
              <w:jc w:val="center"/>
              <w:cnfStyle w:val="000000100000"/>
              <w:rPr>
                <w:rFonts w:ascii="宋体" w:eastAsia="宋体" w:hAnsi="宋体" w:cs="宋体"/>
                <w:color w:val="000000"/>
                <w:kern w:val="0"/>
                <w:sz w:val="22"/>
              </w:rPr>
            </w:pPr>
            <w:r w:rsidRPr="00CB11B5">
              <w:rPr>
                <w:rFonts w:ascii="宋体" w:eastAsia="宋体" w:hAnsi="宋体" w:cs="宋体" w:hint="eastAsia"/>
                <w:color w:val="000000"/>
                <w:kern w:val="0"/>
                <w:sz w:val="22"/>
              </w:rPr>
              <w:t>11.60</w:t>
            </w:r>
          </w:p>
        </w:tc>
        <w:tc>
          <w:tcPr>
            <w:tcW w:w="2878" w:type="dxa"/>
            <w:tcBorders>
              <w:left w:val="single" w:sz="4" w:space="0" w:color="7F7F7F" w:themeColor="text1" w:themeTint="80"/>
            </w:tcBorders>
            <w:shd w:val="clear" w:color="auto" w:fill="auto"/>
            <w:noWrap/>
            <w:hideMark/>
          </w:tcPr>
          <w:p w:rsidR="00356A63" w:rsidRPr="00CB11B5" w:rsidRDefault="00356A63" w:rsidP="00927D92">
            <w:pPr>
              <w:widowControl/>
              <w:jc w:val="center"/>
              <w:cnfStyle w:val="000000100000"/>
              <w:rPr>
                <w:rFonts w:ascii="宋体" w:eastAsia="宋体" w:hAnsi="宋体" w:cs="宋体"/>
                <w:color w:val="000000"/>
                <w:kern w:val="0"/>
                <w:sz w:val="22"/>
              </w:rPr>
            </w:pPr>
            <w:r w:rsidRPr="00CB11B5">
              <w:rPr>
                <w:rFonts w:ascii="宋体" w:eastAsia="宋体" w:hAnsi="宋体" w:cs="宋体" w:hint="eastAsia"/>
                <w:color w:val="000000"/>
                <w:kern w:val="0"/>
                <w:sz w:val="22"/>
              </w:rPr>
              <w:t>6.50</w:t>
            </w:r>
          </w:p>
        </w:tc>
      </w:tr>
      <w:tr w:rsidR="00356A63" w:rsidRPr="00CB11B5" w:rsidTr="00927D92">
        <w:trPr>
          <w:trHeight w:val="251"/>
          <w:jc w:val="center"/>
        </w:trPr>
        <w:tc>
          <w:tcPr>
            <w:cnfStyle w:val="001000000000"/>
            <w:tcW w:w="1992" w:type="dxa"/>
            <w:shd w:val="clear" w:color="auto" w:fill="auto"/>
            <w:noWrap/>
            <w:hideMark/>
          </w:tcPr>
          <w:p w:rsidR="00356A63" w:rsidRPr="00927D92" w:rsidRDefault="00356A63" w:rsidP="00927D92">
            <w:pPr>
              <w:widowControl/>
              <w:jc w:val="center"/>
              <w:rPr>
                <w:rFonts w:ascii="宋体" w:eastAsia="宋体" w:hAnsi="宋体" w:cs="宋体"/>
                <w:b w:val="0"/>
                <w:color w:val="000000"/>
                <w:kern w:val="0"/>
                <w:sz w:val="22"/>
              </w:rPr>
            </w:pPr>
            <w:r w:rsidRPr="00927D92">
              <w:rPr>
                <w:rFonts w:ascii="宋体" w:eastAsia="宋体" w:hAnsi="宋体" w:cs="宋体" w:hint="eastAsia"/>
                <w:b w:val="0"/>
                <w:color w:val="000000"/>
                <w:kern w:val="0"/>
                <w:sz w:val="22"/>
              </w:rPr>
              <w:t>七年</w:t>
            </w:r>
          </w:p>
        </w:tc>
        <w:tc>
          <w:tcPr>
            <w:tcW w:w="2769" w:type="dxa"/>
            <w:tcBorders>
              <w:right w:val="single" w:sz="4" w:space="0" w:color="7F7F7F" w:themeColor="text1" w:themeTint="80"/>
            </w:tcBorders>
            <w:shd w:val="clear" w:color="auto" w:fill="auto"/>
            <w:noWrap/>
            <w:hideMark/>
          </w:tcPr>
          <w:p w:rsidR="00356A63" w:rsidRPr="00CB11B5" w:rsidRDefault="00356A63" w:rsidP="00927D92">
            <w:pPr>
              <w:widowControl/>
              <w:jc w:val="center"/>
              <w:cnfStyle w:val="000000000000"/>
              <w:rPr>
                <w:rFonts w:ascii="宋体" w:eastAsia="宋体" w:hAnsi="宋体" w:cs="宋体"/>
                <w:color w:val="000000"/>
                <w:kern w:val="0"/>
                <w:sz w:val="22"/>
              </w:rPr>
            </w:pPr>
            <w:r w:rsidRPr="00CB11B5">
              <w:rPr>
                <w:rFonts w:ascii="宋体" w:eastAsia="宋体" w:hAnsi="宋体" w:cs="宋体" w:hint="eastAsia"/>
                <w:color w:val="000000"/>
                <w:kern w:val="0"/>
                <w:sz w:val="22"/>
              </w:rPr>
              <w:t>10.40</w:t>
            </w:r>
          </w:p>
        </w:tc>
        <w:tc>
          <w:tcPr>
            <w:tcW w:w="2878" w:type="dxa"/>
            <w:tcBorders>
              <w:left w:val="single" w:sz="4" w:space="0" w:color="7F7F7F" w:themeColor="text1" w:themeTint="80"/>
            </w:tcBorders>
            <w:shd w:val="clear" w:color="auto" w:fill="auto"/>
            <w:noWrap/>
            <w:hideMark/>
          </w:tcPr>
          <w:p w:rsidR="00356A63" w:rsidRPr="00CB11B5" w:rsidRDefault="00356A63" w:rsidP="00927D92">
            <w:pPr>
              <w:widowControl/>
              <w:jc w:val="center"/>
              <w:cnfStyle w:val="000000000000"/>
              <w:rPr>
                <w:rFonts w:ascii="宋体" w:eastAsia="宋体" w:hAnsi="宋体" w:cs="宋体"/>
                <w:color w:val="000000"/>
                <w:kern w:val="0"/>
                <w:sz w:val="22"/>
              </w:rPr>
            </w:pPr>
            <w:r w:rsidRPr="00CB11B5">
              <w:rPr>
                <w:rFonts w:ascii="宋体" w:eastAsia="宋体" w:hAnsi="宋体" w:cs="宋体" w:hint="eastAsia"/>
                <w:color w:val="000000"/>
                <w:kern w:val="0"/>
                <w:sz w:val="22"/>
              </w:rPr>
              <w:t>6.60</w:t>
            </w:r>
          </w:p>
        </w:tc>
      </w:tr>
      <w:tr w:rsidR="00356A63" w:rsidRPr="00CB11B5" w:rsidTr="00927D92">
        <w:trPr>
          <w:cnfStyle w:val="000000100000"/>
          <w:trHeight w:val="251"/>
          <w:jc w:val="center"/>
        </w:trPr>
        <w:tc>
          <w:tcPr>
            <w:cnfStyle w:val="001000000000"/>
            <w:tcW w:w="1992" w:type="dxa"/>
            <w:tcBorders>
              <w:bottom w:val="single" w:sz="4" w:space="0" w:color="7F7F7F" w:themeColor="text1" w:themeTint="80"/>
            </w:tcBorders>
            <w:shd w:val="clear" w:color="auto" w:fill="auto"/>
            <w:noWrap/>
            <w:hideMark/>
          </w:tcPr>
          <w:p w:rsidR="00356A63" w:rsidRPr="00927D92" w:rsidRDefault="00356A63" w:rsidP="00927D92">
            <w:pPr>
              <w:widowControl/>
              <w:jc w:val="center"/>
              <w:rPr>
                <w:rFonts w:ascii="宋体" w:eastAsia="宋体" w:hAnsi="宋体" w:cs="宋体"/>
                <w:b w:val="0"/>
                <w:color w:val="000000"/>
                <w:kern w:val="0"/>
                <w:sz w:val="22"/>
              </w:rPr>
            </w:pPr>
            <w:r w:rsidRPr="00927D92">
              <w:rPr>
                <w:rFonts w:ascii="宋体" w:eastAsia="宋体" w:hAnsi="宋体" w:cs="宋体" w:hint="eastAsia"/>
                <w:b w:val="0"/>
                <w:color w:val="000000"/>
                <w:kern w:val="0"/>
                <w:sz w:val="22"/>
              </w:rPr>
              <w:t>十年</w:t>
            </w:r>
          </w:p>
        </w:tc>
        <w:tc>
          <w:tcPr>
            <w:tcW w:w="2769" w:type="dxa"/>
            <w:tcBorders>
              <w:bottom w:val="single" w:sz="4" w:space="0" w:color="7F7F7F" w:themeColor="text1" w:themeTint="80"/>
              <w:right w:val="single" w:sz="4" w:space="0" w:color="7F7F7F" w:themeColor="text1" w:themeTint="80"/>
            </w:tcBorders>
            <w:shd w:val="clear" w:color="auto" w:fill="auto"/>
            <w:noWrap/>
            <w:hideMark/>
          </w:tcPr>
          <w:p w:rsidR="00356A63" w:rsidRPr="00CB11B5" w:rsidRDefault="00356A63" w:rsidP="00927D92">
            <w:pPr>
              <w:widowControl/>
              <w:jc w:val="center"/>
              <w:cnfStyle w:val="000000100000"/>
              <w:rPr>
                <w:rFonts w:ascii="宋体" w:eastAsia="宋体" w:hAnsi="宋体" w:cs="宋体"/>
                <w:color w:val="000000"/>
                <w:kern w:val="0"/>
                <w:sz w:val="22"/>
              </w:rPr>
            </w:pPr>
            <w:r w:rsidRPr="00CB11B5">
              <w:rPr>
                <w:rFonts w:ascii="宋体" w:eastAsia="宋体" w:hAnsi="宋体" w:cs="宋体" w:hint="eastAsia"/>
                <w:color w:val="000000"/>
                <w:kern w:val="0"/>
                <w:sz w:val="22"/>
              </w:rPr>
              <w:t>7.90</w:t>
            </w:r>
          </w:p>
        </w:tc>
        <w:tc>
          <w:tcPr>
            <w:tcW w:w="2878" w:type="dxa"/>
            <w:tcBorders>
              <w:left w:val="single" w:sz="4" w:space="0" w:color="7F7F7F" w:themeColor="text1" w:themeTint="80"/>
              <w:bottom w:val="single" w:sz="4" w:space="0" w:color="7F7F7F" w:themeColor="text1" w:themeTint="80"/>
            </w:tcBorders>
            <w:shd w:val="clear" w:color="auto" w:fill="auto"/>
            <w:noWrap/>
            <w:hideMark/>
          </w:tcPr>
          <w:p w:rsidR="00356A63" w:rsidRPr="00CB11B5" w:rsidRDefault="00356A63" w:rsidP="00927D92">
            <w:pPr>
              <w:widowControl/>
              <w:jc w:val="center"/>
              <w:cnfStyle w:val="000000100000"/>
              <w:rPr>
                <w:rFonts w:ascii="宋体" w:eastAsia="宋体" w:hAnsi="宋体" w:cs="宋体"/>
                <w:color w:val="000000"/>
                <w:kern w:val="0"/>
                <w:sz w:val="22"/>
              </w:rPr>
            </w:pPr>
            <w:r w:rsidRPr="00CB11B5">
              <w:rPr>
                <w:rFonts w:ascii="宋体" w:eastAsia="宋体" w:hAnsi="宋体" w:cs="宋体" w:hint="eastAsia"/>
                <w:color w:val="000000"/>
                <w:kern w:val="0"/>
                <w:sz w:val="22"/>
              </w:rPr>
              <w:t>6.90</w:t>
            </w:r>
          </w:p>
        </w:tc>
      </w:tr>
    </w:tbl>
    <w:p w:rsidR="00304198" w:rsidRPr="00304198" w:rsidRDefault="00E85698" w:rsidP="00927D92">
      <w:pPr>
        <w:rPr>
          <w:sz w:val="18"/>
          <w:szCs w:val="18"/>
        </w:rPr>
      </w:pPr>
      <w:r>
        <w:rPr>
          <w:rFonts w:hint="eastAsia"/>
          <w:sz w:val="18"/>
          <w:szCs w:val="18"/>
        </w:rPr>
        <w:t>资料</w:t>
      </w:r>
      <w:r w:rsidR="00304198" w:rsidRPr="00304198">
        <w:rPr>
          <w:sz w:val="18"/>
          <w:szCs w:val="18"/>
        </w:rPr>
        <w:t>来源：</w:t>
      </w:r>
      <w:r w:rsidR="00304198" w:rsidRPr="00304198">
        <w:rPr>
          <w:sz w:val="18"/>
          <w:szCs w:val="18"/>
        </w:rPr>
        <w:t>Future Fund Annual Report 20</w:t>
      </w:r>
      <w:r w:rsidR="00304198">
        <w:rPr>
          <w:sz w:val="18"/>
          <w:szCs w:val="18"/>
        </w:rPr>
        <w:t>07</w:t>
      </w:r>
      <w:r w:rsidR="00304198" w:rsidRPr="00304198">
        <w:rPr>
          <w:sz w:val="18"/>
          <w:szCs w:val="18"/>
        </w:rPr>
        <w:t>-17</w:t>
      </w:r>
      <w:r>
        <w:rPr>
          <w:rFonts w:hint="eastAsia"/>
          <w:sz w:val="18"/>
          <w:szCs w:val="18"/>
        </w:rPr>
        <w:t>。</w:t>
      </w:r>
    </w:p>
    <w:p w:rsidR="00356A63" w:rsidRDefault="00356A63" w:rsidP="00356A63"/>
    <w:p w:rsidR="00356A63" w:rsidRDefault="00356A63" w:rsidP="00356A63">
      <w:r>
        <w:rPr>
          <w:rFonts w:hint="eastAsia"/>
        </w:rPr>
        <w:t>未来</w:t>
      </w:r>
      <w:r>
        <w:t>基金的年</w:t>
      </w:r>
      <w:r>
        <w:rPr>
          <w:rFonts w:hint="eastAsia"/>
        </w:rPr>
        <w:t>投资</w:t>
      </w:r>
      <w:r>
        <w:t>收益显示</w:t>
      </w:r>
      <w:r w:rsidR="00102624">
        <w:rPr>
          <w:rFonts w:hint="eastAsia"/>
        </w:rPr>
        <w:t>其</w:t>
      </w:r>
      <w:r>
        <w:t>投资特点</w:t>
      </w:r>
      <w:r w:rsidR="00102624">
        <w:rPr>
          <w:rFonts w:hint="eastAsia"/>
        </w:rPr>
        <w:t>。</w:t>
      </w:r>
      <w:r>
        <w:t>由于</w:t>
      </w:r>
      <w:r>
        <w:rPr>
          <w:rFonts w:hint="eastAsia"/>
        </w:rPr>
        <w:t>未来</w:t>
      </w:r>
      <w:r>
        <w:t>基金</w:t>
      </w:r>
      <w:r>
        <w:rPr>
          <w:rFonts w:hint="eastAsia"/>
        </w:rPr>
        <w:t>的</w:t>
      </w:r>
      <w:r>
        <w:t>投资</w:t>
      </w:r>
      <w:r>
        <w:rPr>
          <w:rFonts w:hint="eastAsia"/>
        </w:rPr>
        <w:t>工具</w:t>
      </w:r>
      <w:r>
        <w:t>非常</w:t>
      </w:r>
      <w:r>
        <w:rPr>
          <w:rFonts w:hint="eastAsia"/>
        </w:rPr>
        <w:t>广泛，</w:t>
      </w:r>
      <w:r>
        <w:t>而且有大量的</w:t>
      </w:r>
      <w:r>
        <w:lastRenderedPageBreak/>
        <w:t>海外投资</w:t>
      </w:r>
      <w:r>
        <w:rPr>
          <w:rFonts w:hint="eastAsia"/>
        </w:rPr>
        <w:t>，</w:t>
      </w:r>
      <w:r>
        <w:t>未来基金受世界经济环境影响也较大</w:t>
      </w:r>
      <w:r>
        <w:rPr>
          <w:rFonts w:hint="eastAsia"/>
        </w:rPr>
        <w:t>。</w:t>
      </w:r>
      <w:r>
        <w:t>这</w:t>
      </w:r>
      <w:r>
        <w:rPr>
          <w:rFonts w:hint="eastAsia"/>
        </w:rPr>
        <w:t>也</w:t>
      </w:r>
      <w:r>
        <w:t>直接</w:t>
      </w:r>
      <w:r>
        <w:rPr>
          <w:rFonts w:hint="eastAsia"/>
        </w:rPr>
        <w:t>反映</w:t>
      </w:r>
      <w:r>
        <w:t>到其投资收益上，</w:t>
      </w:r>
      <w:r>
        <w:rPr>
          <w:rFonts w:hint="eastAsia"/>
        </w:rPr>
        <w:t>在</w:t>
      </w:r>
      <w:r>
        <w:rPr>
          <w:rFonts w:hint="eastAsia"/>
        </w:rPr>
        <w:t>2008</w:t>
      </w:r>
      <w:r>
        <w:t>-2009</w:t>
      </w:r>
      <w:r>
        <w:rPr>
          <w:rFonts w:hint="eastAsia"/>
        </w:rPr>
        <w:t>年</w:t>
      </w:r>
      <w:r>
        <w:t>全球范围</w:t>
      </w:r>
      <w:r>
        <w:rPr>
          <w:rFonts w:hint="eastAsia"/>
        </w:rPr>
        <w:t>的经济</w:t>
      </w:r>
      <w:r>
        <w:t>危机中，未来基金的收益率</w:t>
      </w:r>
      <w:r>
        <w:rPr>
          <w:rFonts w:hint="eastAsia"/>
        </w:rPr>
        <w:t>降幅</w:t>
      </w:r>
      <w:r>
        <w:t>较大，</w:t>
      </w:r>
      <w:r>
        <w:rPr>
          <w:rFonts w:hint="eastAsia"/>
        </w:rPr>
        <w:t>2008</w:t>
      </w:r>
      <w:r>
        <w:rPr>
          <w:rFonts w:hint="eastAsia"/>
        </w:rPr>
        <w:t>年收益率</w:t>
      </w:r>
      <w:r>
        <w:t>为</w:t>
      </w:r>
      <w:r>
        <w:rPr>
          <w:rFonts w:hint="eastAsia"/>
        </w:rPr>
        <w:t>1.5</w:t>
      </w:r>
      <w:r>
        <w:t>%</w:t>
      </w:r>
      <w:r>
        <w:t>，</w:t>
      </w:r>
      <w:r>
        <w:rPr>
          <w:rFonts w:hint="eastAsia"/>
        </w:rPr>
        <w:t>2009</w:t>
      </w:r>
      <w:r>
        <w:rPr>
          <w:rFonts w:hint="eastAsia"/>
        </w:rPr>
        <w:t>年出现</w:t>
      </w:r>
      <w:r>
        <w:t>了亏损。</w:t>
      </w:r>
      <w:r>
        <w:rPr>
          <w:rFonts w:hint="eastAsia"/>
        </w:rPr>
        <w:t>另外在</w:t>
      </w:r>
      <w:r>
        <w:rPr>
          <w:rFonts w:hint="eastAsia"/>
        </w:rPr>
        <w:t>2012</w:t>
      </w:r>
      <w:r>
        <w:rPr>
          <w:rFonts w:hint="eastAsia"/>
        </w:rPr>
        <w:t>年的</w:t>
      </w:r>
      <w:r>
        <w:t>投资收益率</w:t>
      </w:r>
      <w:r>
        <w:rPr>
          <w:rFonts w:hint="eastAsia"/>
        </w:rPr>
        <w:t>也</w:t>
      </w:r>
      <w:r>
        <w:t>只有</w:t>
      </w:r>
      <w:r>
        <w:rPr>
          <w:rFonts w:hint="eastAsia"/>
        </w:rPr>
        <w:t>2.1</w:t>
      </w:r>
      <w:r>
        <w:t>%</w:t>
      </w:r>
      <w:r>
        <w:rPr>
          <w:rFonts w:hint="eastAsia"/>
        </w:rPr>
        <w:t>，</w:t>
      </w:r>
      <w:r>
        <w:t>低于业绩比较基准</w:t>
      </w:r>
      <w:r>
        <w:rPr>
          <w:rFonts w:hint="eastAsia"/>
        </w:rPr>
        <w:t>5.7</w:t>
      </w:r>
      <w:r>
        <w:t>%</w:t>
      </w:r>
      <w:r w:rsidR="00E85698">
        <w:rPr>
          <w:rFonts w:hint="eastAsia"/>
        </w:rPr>
        <w:t>（见图</w:t>
      </w:r>
      <w:r w:rsidR="00E85698">
        <w:rPr>
          <w:rFonts w:hint="eastAsia"/>
        </w:rPr>
        <w:t>6</w:t>
      </w:r>
      <w:r w:rsidR="00E85698">
        <w:rPr>
          <w:rFonts w:hint="eastAsia"/>
        </w:rPr>
        <w:t>）</w:t>
      </w:r>
      <w:r>
        <w:t>。</w:t>
      </w:r>
    </w:p>
    <w:p w:rsidR="00927D92" w:rsidRDefault="00927D92" w:rsidP="00927D92"/>
    <w:p w:rsidR="00927D92" w:rsidRDefault="00927D92" w:rsidP="00927D92">
      <w:r>
        <w:rPr>
          <w:rFonts w:hint="eastAsia"/>
        </w:rPr>
        <w:t>但是从长期</w:t>
      </w:r>
      <w:r>
        <w:t>来看，</w:t>
      </w:r>
      <w:r>
        <w:rPr>
          <w:rFonts w:hint="eastAsia"/>
        </w:rPr>
        <w:t>未来</w:t>
      </w:r>
      <w:r>
        <w:t>基金还是能够战胜业绩比较基准</w:t>
      </w:r>
      <w:r>
        <w:rPr>
          <w:rFonts w:hint="eastAsia"/>
        </w:rPr>
        <w:t>，表现出</w:t>
      </w:r>
      <w:r>
        <w:t>很好的抗通胀能力。</w:t>
      </w:r>
      <w:r>
        <w:rPr>
          <w:rFonts w:hint="eastAsia"/>
        </w:rPr>
        <w:t>基金</w:t>
      </w:r>
      <w:r>
        <w:t>从成立</w:t>
      </w:r>
      <w:r>
        <w:rPr>
          <w:rFonts w:hint="eastAsia"/>
        </w:rPr>
        <w:t>以来</w:t>
      </w:r>
      <w:r>
        <w:t>的</w:t>
      </w:r>
      <w:r>
        <w:rPr>
          <w:rFonts w:hint="eastAsia"/>
        </w:rPr>
        <w:t>平均</w:t>
      </w:r>
      <w:r>
        <w:t>年化收益率为</w:t>
      </w:r>
      <w:r>
        <w:rPr>
          <w:rFonts w:hint="eastAsia"/>
        </w:rPr>
        <w:t>7.8</w:t>
      </w:r>
      <w:r>
        <w:t>%</w:t>
      </w:r>
      <w:r>
        <w:t>，</w:t>
      </w:r>
      <w:r>
        <w:rPr>
          <w:rFonts w:hint="eastAsia"/>
        </w:rPr>
        <w:t>到</w:t>
      </w:r>
      <w:r>
        <w:t>目前为止实现了投资目标</w:t>
      </w:r>
      <w:r>
        <w:rPr>
          <w:rFonts w:hint="eastAsia"/>
        </w:rPr>
        <w:t>（</w:t>
      </w:r>
      <w:r>
        <w:rPr>
          <w:rFonts w:hint="eastAsia"/>
        </w:rPr>
        <w:t>CPI</w:t>
      </w:r>
      <w:r>
        <w:t>+4.5%</w:t>
      </w:r>
      <w:r>
        <w:rPr>
          <w:rFonts w:hint="eastAsia"/>
        </w:rPr>
        <w:t>）。</w:t>
      </w:r>
      <w:r>
        <w:t>基金</w:t>
      </w:r>
      <w:r>
        <w:rPr>
          <w:rFonts w:hint="eastAsia"/>
        </w:rPr>
        <w:t>累积</w:t>
      </w:r>
      <w:r>
        <w:t>回报</w:t>
      </w:r>
      <w:r>
        <w:rPr>
          <w:rFonts w:hint="eastAsia"/>
        </w:rPr>
        <w:t>从</w:t>
      </w:r>
      <w:r>
        <w:rPr>
          <w:rFonts w:hint="eastAsia"/>
        </w:rPr>
        <w:t>2015</w:t>
      </w:r>
      <w:r>
        <w:rPr>
          <w:rFonts w:hint="eastAsia"/>
        </w:rPr>
        <w:t>年</w:t>
      </w:r>
      <w:r>
        <w:t>开始战胜其投资比较基准，显示出</w:t>
      </w:r>
      <w:r>
        <w:rPr>
          <w:rFonts w:hint="eastAsia"/>
        </w:rPr>
        <w:t>养老金</w:t>
      </w:r>
      <w:r>
        <w:t>长期投资的特点</w:t>
      </w:r>
      <w:r>
        <w:rPr>
          <w:rFonts w:hint="eastAsia"/>
        </w:rPr>
        <w:t>（见图</w:t>
      </w:r>
      <w:r>
        <w:rPr>
          <w:rFonts w:hint="eastAsia"/>
        </w:rPr>
        <w:t>7</w:t>
      </w:r>
      <w:r>
        <w:rPr>
          <w:rFonts w:hint="eastAsia"/>
        </w:rPr>
        <w:t>）。</w:t>
      </w:r>
    </w:p>
    <w:p w:rsidR="00E85698" w:rsidRDefault="00E85698" w:rsidP="00356A63"/>
    <w:p w:rsidR="00FC3FF6" w:rsidRDefault="00FC3FF6" w:rsidP="004002FA">
      <w:pPr>
        <w:pStyle w:val="af"/>
        <w:keepNext/>
        <w:jc w:val="center"/>
      </w:pPr>
      <w:r>
        <w:rPr>
          <w:rFonts w:hint="eastAsia"/>
        </w:rPr>
        <w:t>图</w:t>
      </w:r>
      <w:r>
        <w:rPr>
          <w:rFonts w:hint="eastAsia"/>
        </w:rPr>
        <w:t xml:space="preserve"> </w:t>
      </w:r>
      <w:r w:rsidR="00E85698">
        <w:rPr>
          <w:rFonts w:hint="eastAsia"/>
        </w:rPr>
        <w:t>6</w:t>
      </w:r>
      <w:r>
        <w:t xml:space="preserve"> </w:t>
      </w:r>
      <w:r>
        <w:rPr>
          <w:rFonts w:hint="eastAsia"/>
        </w:rPr>
        <w:t>澳大利亚未来基金投资收益</w:t>
      </w:r>
      <w:r>
        <w:t>与业绩比较基准</w:t>
      </w:r>
    </w:p>
    <w:p w:rsidR="00304198" w:rsidRDefault="00356A63" w:rsidP="00356A63">
      <w:r>
        <w:rPr>
          <w:noProof/>
        </w:rPr>
        <w:drawing>
          <wp:inline distT="0" distB="0" distL="0" distR="0">
            <wp:extent cx="5274310" cy="3076575"/>
            <wp:effectExtent l="0" t="0" r="2540" b="952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04198" w:rsidRPr="00304198" w:rsidRDefault="00E85698" w:rsidP="00304198">
      <w:pPr>
        <w:ind w:firstLine="420"/>
        <w:rPr>
          <w:sz w:val="18"/>
          <w:szCs w:val="18"/>
        </w:rPr>
      </w:pPr>
      <w:r>
        <w:rPr>
          <w:rFonts w:hint="eastAsia"/>
          <w:sz w:val="18"/>
          <w:szCs w:val="18"/>
        </w:rPr>
        <w:t>资料</w:t>
      </w:r>
      <w:r w:rsidR="00304198" w:rsidRPr="00304198">
        <w:rPr>
          <w:sz w:val="18"/>
          <w:szCs w:val="18"/>
        </w:rPr>
        <w:t>来源：</w:t>
      </w:r>
      <w:r w:rsidR="00304198" w:rsidRPr="00304198">
        <w:rPr>
          <w:sz w:val="18"/>
          <w:szCs w:val="18"/>
        </w:rPr>
        <w:t>Future Fund Annual Report 2016-17</w:t>
      </w:r>
      <w:r>
        <w:rPr>
          <w:rFonts w:hint="eastAsia"/>
          <w:sz w:val="18"/>
          <w:szCs w:val="18"/>
        </w:rPr>
        <w:t>。</w:t>
      </w:r>
    </w:p>
    <w:p w:rsidR="00FC3FF6" w:rsidRDefault="00356A63" w:rsidP="00356A63">
      <w:r>
        <w:tab/>
      </w:r>
    </w:p>
    <w:p w:rsidR="00FC3FF6" w:rsidRDefault="00FC3FF6" w:rsidP="004002FA">
      <w:pPr>
        <w:pStyle w:val="af"/>
        <w:keepNext/>
        <w:jc w:val="center"/>
      </w:pPr>
      <w:r>
        <w:rPr>
          <w:rFonts w:hint="eastAsia"/>
        </w:rPr>
        <w:lastRenderedPageBreak/>
        <w:t>图</w:t>
      </w:r>
      <w:r w:rsidR="00E85698">
        <w:rPr>
          <w:rFonts w:hint="eastAsia"/>
        </w:rPr>
        <w:t xml:space="preserve">7 </w:t>
      </w:r>
      <w:r>
        <w:rPr>
          <w:rFonts w:hint="eastAsia"/>
        </w:rPr>
        <w:t>澳大利亚未来基金累积收益</w:t>
      </w:r>
      <w:r w:rsidR="00E85698">
        <w:rPr>
          <w:rFonts w:hint="eastAsia"/>
        </w:rPr>
        <w:t>与业绩投资基准比较（</w:t>
      </w:r>
      <w:r w:rsidR="00E85698">
        <w:rPr>
          <w:rFonts w:hint="eastAsia"/>
        </w:rPr>
        <w:t>CPI+4.5%</w:t>
      </w:r>
      <w:r w:rsidR="00E85698">
        <w:rPr>
          <w:rFonts w:hint="eastAsia"/>
        </w:rPr>
        <w:t>）</w:t>
      </w:r>
    </w:p>
    <w:p w:rsidR="00356A63" w:rsidRDefault="00356A63" w:rsidP="00356A63">
      <w:r>
        <w:rPr>
          <w:rFonts w:hint="eastAsia"/>
          <w:noProof/>
        </w:rPr>
        <w:drawing>
          <wp:inline distT="0" distB="0" distL="0" distR="0">
            <wp:extent cx="5274310" cy="3076575"/>
            <wp:effectExtent l="0" t="0" r="254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56A63" w:rsidRPr="00F84AE5" w:rsidRDefault="00E85698" w:rsidP="00F84AE5">
      <w:pPr>
        <w:ind w:firstLine="420"/>
        <w:rPr>
          <w:sz w:val="18"/>
          <w:szCs w:val="18"/>
        </w:rPr>
      </w:pPr>
      <w:r>
        <w:rPr>
          <w:rFonts w:hint="eastAsia"/>
          <w:sz w:val="18"/>
          <w:szCs w:val="18"/>
        </w:rPr>
        <w:t>资料</w:t>
      </w:r>
      <w:r w:rsidR="00304198" w:rsidRPr="00304198">
        <w:rPr>
          <w:sz w:val="18"/>
          <w:szCs w:val="18"/>
        </w:rPr>
        <w:t>来源：</w:t>
      </w:r>
      <w:r w:rsidR="00304198" w:rsidRPr="00304198">
        <w:rPr>
          <w:sz w:val="18"/>
          <w:szCs w:val="18"/>
        </w:rPr>
        <w:t>Fu</w:t>
      </w:r>
      <w:r w:rsidR="00F84AE5">
        <w:rPr>
          <w:sz w:val="18"/>
          <w:szCs w:val="18"/>
        </w:rPr>
        <w:t>ture Fund Annual Report 2016-17</w:t>
      </w:r>
      <w:r>
        <w:rPr>
          <w:rFonts w:hint="eastAsia"/>
          <w:sz w:val="18"/>
          <w:szCs w:val="18"/>
        </w:rPr>
        <w:t>。</w:t>
      </w:r>
    </w:p>
    <w:p w:rsidR="00356A63" w:rsidRPr="00BF3BEC" w:rsidRDefault="00E85698" w:rsidP="00BF3BEC">
      <w:pPr>
        <w:pStyle w:val="2"/>
        <w:rPr>
          <w:sz w:val="28"/>
          <w:szCs w:val="28"/>
        </w:rPr>
      </w:pPr>
      <w:r>
        <w:rPr>
          <w:rFonts w:hint="eastAsia"/>
          <w:sz w:val="28"/>
          <w:szCs w:val="28"/>
        </w:rPr>
        <w:t>（四）</w:t>
      </w:r>
      <w:r w:rsidR="00D523E6">
        <w:rPr>
          <w:rFonts w:hint="eastAsia"/>
          <w:sz w:val="28"/>
          <w:szCs w:val="28"/>
        </w:rPr>
        <w:t>澳大利亚</w:t>
      </w:r>
      <w:r w:rsidR="00356A63" w:rsidRPr="006C4ED4">
        <w:rPr>
          <w:rFonts w:hint="eastAsia"/>
          <w:sz w:val="28"/>
          <w:szCs w:val="28"/>
        </w:rPr>
        <w:t>未来</w:t>
      </w:r>
      <w:r w:rsidR="00356A63" w:rsidRPr="006C4ED4">
        <w:rPr>
          <w:sz w:val="28"/>
          <w:szCs w:val="28"/>
        </w:rPr>
        <w:t>基金的监管</w:t>
      </w:r>
    </w:p>
    <w:p w:rsidR="00356A63" w:rsidRDefault="00356A63" w:rsidP="00356A63">
      <w:r>
        <w:rPr>
          <w:rFonts w:hint="eastAsia"/>
        </w:rPr>
        <w:t>未来基金是</w:t>
      </w:r>
      <w:r>
        <w:t>政府依法建立的，受</w:t>
      </w:r>
      <w:r>
        <w:rPr>
          <w:rFonts w:hint="eastAsia"/>
        </w:rPr>
        <w:t>到</w:t>
      </w:r>
      <w:r>
        <w:t>澳大利亚法律的监管</w:t>
      </w:r>
      <w:r w:rsidR="00102624">
        <w:rPr>
          <w:rFonts w:hint="eastAsia"/>
        </w:rPr>
        <w:t>。</w:t>
      </w:r>
      <w:r w:rsidR="00E87FC8">
        <w:rPr>
          <w:rFonts w:hint="eastAsia"/>
        </w:rPr>
        <w:t>未来基金</w:t>
      </w:r>
      <w:r w:rsidR="00E87FC8">
        <w:t>主要受</w:t>
      </w:r>
      <w:r w:rsidR="00E87FC8">
        <w:rPr>
          <w:rFonts w:hint="eastAsia"/>
        </w:rPr>
        <w:t>《</w:t>
      </w:r>
      <w:r w:rsidR="00E87FC8">
        <w:t>2006</w:t>
      </w:r>
      <w:r w:rsidR="00E87FC8">
        <w:rPr>
          <w:rFonts w:hint="eastAsia"/>
        </w:rPr>
        <w:t>年</w:t>
      </w:r>
      <w:r w:rsidR="00E87FC8">
        <w:t>未来</w:t>
      </w:r>
      <w:r w:rsidR="00E87FC8">
        <w:rPr>
          <w:rFonts w:hint="eastAsia"/>
        </w:rPr>
        <w:t>基金</w:t>
      </w:r>
      <w:r w:rsidR="00E87FC8">
        <w:t>法</w:t>
      </w:r>
      <w:r w:rsidR="00E87FC8">
        <w:rPr>
          <w:rFonts w:hint="eastAsia"/>
        </w:rPr>
        <w:t>》</w:t>
      </w:r>
      <w:r w:rsidR="00E87FC8">
        <w:t>的</w:t>
      </w:r>
      <w:r w:rsidR="00E87FC8">
        <w:rPr>
          <w:rFonts w:hint="eastAsia"/>
        </w:rPr>
        <w:t>管理</w:t>
      </w:r>
      <w:r>
        <w:t>。</w:t>
      </w:r>
      <w:r>
        <w:rPr>
          <w:rFonts w:hint="eastAsia"/>
        </w:rPr>
        <w:t>另外</w:t>
      </w:r>
      <w:r>
        <w:t>，未来基金</w:t>
      </w:r>
      <w:r>
        <w:rPr>
          <w:rFonts w:hint="eastAsia"/>
        </w:rPr>
        <w:t>包括</w:t>
      </w:r>
      <w:r>
        <w:t>其管理委员会和管理局都</w:t>
      </w:r>
      <w:r>
        <w:rPr>
          <w:rFonts w:hint="eastAsia"/>
        </w:rPr>
        <w:t>属于</w:t>
      </w:r>
      <w:r>
        <w:t>公共部门，</w:t>
      </w:r>
      <w:r>
        <w:rPr>
          <w:rFonts w:hint="eastAsia"/>
        </w:rPr>
        <w:t>受到</w:t>
      </w:r>
      <w:r>
        <w:t>澳大利亚</w:t>
      </w:r>
      <w:r w:rsidR="00E87FC8">
        <w:rPr>
          <w:rFonts w:hint="eastAsia"/>
        </w:rPr>
        <w:t>《</w:t>
      </w:r>
      <w:r>
        <w:rPr>
          <w:rFonts w:hint="eastAsia"/>
        </w:rPr>
        <w:t>公共</w:t>
      </w:r>
      <w:r>
        <w:t>管理、</w:t>
      </w:r>
      <w:r>
        <w:rPr>
          <w:rFonts w:hint="eastAsia"/>
        </w:rPr>
        <w:t>责任</w:t>
      </w:r>
      <w:r>
        <w:t>和绩效法案（</w:t>
      </w:r>
      <w:r>
        <w:rPr>
          <w:rFonts w:hint="eastAsia"/>
        </w:rPr>
        <w:t>2013</w:t>
      </w:r>
      <w:r>
        <w:t>）</w:t>
      </w:r>
      <w:r w:rsidR="00E87FC8">
        <w:rPr>
          <w:rFonts w:hint="eastAsia"/>
        </w:rPr>
        <w:t>》</w:t>
      </w:r>
      <w:r>
        <w:rPr>
          <w:rFonts w:hint="eastAsia"/>
        </w:rPr>
        <w:t>的</w:t>
      </w:r>
      <w:r>
        <w:t>管理</w:t>
      </w:r>
      <w:r>
        <w:rPr>
          <w:rFonts w:hint="eastAsia"/>
        </w:rPr>
        <w:t>，</w:t>
      </w:r>
      <w:r>
        <w:t>其员工</w:t>
      </w:r>
      <w:r>
        <w:rPr>
          <w:rFonts w:hint="eastAsia"/>
        </w:rPr>
        <w:t>受</w:t>
      </w:r>
      <w:r w:rsidR="00E87FC8">
        <w:rPr>
          <w:rFonts w:hint="eastAsia"/>
        </w:rPr>
        <w:t>《</w:t>
      </w:r>
      <w:r w:rsidR="00E87FC8">
        <w:t>公共服务</w:t>
      </w:r>
      <w:r w:rsidR="00E87FC8">
        <w:rPr>
          <w:rFonts w:hint="eastAsia"/>
        </w:rPr>
        <w:t>法</w:t>
      </w:r>
      <w:r w:rsidR="00E87FC8">
        <w:t>（</w:t>
      </w:r>
      <w:r w:rsidR="00E87FC8">
        <w:rPr>
          <w:rFonts w:hint="eastAsia"/>
        </w:rPr>
        <w:t>1999</w:t>
      </w:r>
      <w:r w:rsidR="00E87FC8">
        <w:t>）</w:t>
      </w:r>
      <w:r w:rsidR="00E87FC8">
        <w:rPr>
          <w:rFonts w:hint="eastAsia"/>
        </w:rPr>
        <w:t>》</w:t>
      </w:r>
      <w:r>
        <w:rPr>
          <w:rFonts w:hint="eastAsia"/>
        </w:rPr>
        <w:t>的</w:t>
      </w:r>
      <w:r>
        <w:t>管理。</w:t>
      </w:r>
      <w:r>
        <w:rPr>
          <w:rFonts w:hint="eastAsia"/>
        </w:rPr>
        <w:t>另外</w:t>
      </w:r>
      <w:r>
        <w:t>，作为主权</w:t>
      </w:r>
      <w:r>
        <w:rPr>
          <w:rFonts w:hint="eastAsia"/>
        </w:rPr>
        <w:t>财富</w:t>
      </w:r>
      <w:r>
        <w:t>基金，未来基金</w:t>
      </w:r>
      <w:r>
        <w:rPr>
          <w:rFonts w:hint="eastAsia"/>
        </w:rPr>
        <w:t>于</w:t>
      </w:r>
      <w:r>
        <w:rPr>
          <w:rFonts w:hint="eastAsia"/>
        </w:rPr>
        <w:t>2008</w:t>
      </w:r>
      <w:r>
        <w:rPr>
          <w:rFonts w:hint="eastAsia"/>
        </w:rPr>
        <w:t>年</w:t>
      </w:r>
      <w:r>
        <w:t>加入并</w:t>
      </w:r>
      <w:r>
        <w:rPr>
          <w:rFonts w:hint="eastAsia"/>
        </w:rPr>
        <w:t>遵守</w:t>
      </w:r>
      <w:r>
        <w:t>圣地亚哥原则</w:t>
      </w:r>
      <w:r>
        <w:rPr>
          <w:rFonts w:hint="eastAsia"/>
        </w:rPr>
        <w:t>。</w:t>
      </w:r>
    </w:p>
    <w:p w:rsidR="00E85698" w:rsidRDefault="00E85698" w:rsidP="00E85698"/>
    <w:p w:rsidR="00356A63" w:rsidRPr="00E87FC8" w:rsidRDefault="00356A63" w:rsidP="00E85698">
      <w:r>
        <w:rPr>
          <w:rFonts w:hint="eastAsia"/>
        </w:rPr>
        <w:t>未来基金</w:t>
      </w:r>
      <w:r>
        <w:t>法</w:t>
      </w:r>
      <w:r>
        <w:rPr>
          <w:rFonts w:hint="eastAsia"/>
        </w:rPr>
        <w:t>既</w:t>
      </w:r>
      <w:r>
        <w:t>明确了管理委员会的独立性，</w:t>
      </w:r>
      <w:r>
        <w:rPr>
          <w:rFonts w:hint="eastAsia"/>
        </w:rPr>
        <w:t>又要求</w:t>
      </w:r>
      <w:r>
        <w:t>其投资决策与活动与政府</w:t>
      </w:r>
      <w:r>
        <w:rPr>
          <w:rFonts w:hint="eastAsia"/>
        </w:rPr>
        <w:t>目标</w:t>
      </w:r>
      <w:r>
        <w:t>保持一致</w:t>
      </w:r>
      <w:r w:rsidR="00E87FC8">
        <w:rPr>
          <w:rFonts w:hint="eastAsia"/>
        </w:rPr>
        <w:t>，</w:t>
      </w:r>
      <w:r>
        <w:rPr>
          <w:rFonts w:hint="eastAsia"/>
        </w:rPr>
        <w:t>澳大利亚财政</w:t>
      </w:r>
      <w:r>
        <w:t>部长</w:t>
      </w:r>
      <w:r>
        <w:rPr>
          <w:rFonts w:hint="eastAsia"/>
        </w:rPr>
        <w:t>对未来</w:t>
      </w:r>
      <w:r>
        <w:t>基金进行</w:t>
      </w:r>
      <w:r w:rsidR="00E87FC8">
        <w:rPr>
          <w:rFonts w:hint="eastAsia"/>
        </w:rPr>
        <w:t>管理</w:t>
      </w:r>
      <w:r>
        <w:t>，</w:t>
      </w:r>
      <w:r>
        <w:rPr>
          <w:rFonts w:hint="eastAsia"/>
        </w:rPr>
        <w:t>政府</w:t>
      </w:r>
      <w:r>
        <w:t>的主要职能是任命委员会的成员并确定基金的投资目标</w:t>
      </w:r>
      <w:r w:rsidR="00E87FC8">
        <w:t>。</w:t>
      </w:r>
      <w:r>
        <w:rPr>
          <w:rFonts w:hint="eastAsia"/>
        </w:rPr>
        <w:t>未来基金</w:t>
      </w:r>
      <w:r>
        <w:t>管理委员会</w:t>
      </w:r>
      <w:r w:rsidR="00102624">
        <w:rPr>
          <w:rFonts w:hint="eastAsia"/>
        </w:rPr>
        <w:t>向</w:t>
      </w:r>
      <w:r>
        <w:t>参议院财政会议和公共行政委员会</w:t>
      </w:r>
      <w:r w:rsidR="00102624">
        <w:rPr>
          <w:rFonts w:hint="eastAsia"/>
        </w:rPr>
        <w:t>报告</w:t>
      </w:r>
      <w:r>
        <w:t>基金运作</w:t>
      </w:r>
      <w:r>
        <w:rPr>
          <w:rFonts w:hint="eastAsia"/>
        </w:rPr>
        <w:t>情况</w:t>
      </w:r>
      <w:r>
        <w:t>和投资业绩</w:t>
      </w:r>
      <w:r>
        <w:rPr>
          <w:rFonts w:hint="eastAsia"/>
        </w:rPr>
        <w:t>。</w:t>
      </w:r>
    </w:p>
    <w:p w:rsidR="00C827CA" w:rsidRPr="00316872" w:rsidRDefault="00E85698" w:rsidP="00E85698">
      <w:pPr>
        <w:pStyle w:val="1"/>
        <w:jc w:val="center"/>
        <w:rPr>
          <w:sz w:val="32"/>
          <w:szCs w:val="32"/>
        </w:rPr>
      </w:pPr>
      <w:r w:rsidRPr="00E85698">
        <w:rPr>
          <w:rFonts w:hint="eastAsia"/>
          <w:bCs w:val="0"/>
          <w:sz w:val="32"/>
        </w:rPr>
        <w:t>五</w:t>
      </w:r>
      <w:r w:rsidR="00927D92">
        <w:rPr>
          <w:rFonts w:hint="eastAsia"/>
          <w:b w:val="0"/>
          <w:bCs w:val="0"/>
        </w:rPr>
        <w:t xml:space="preserve"> </w:t>
      </w:r>
      <w:r w:rsidR="00C827CA" w:rsidRPr="006C4ED4">
        <w:rPr>
          <w:sz w:val="32"/>
          <w:szCs w:val="32"/>
        </w:rPr>
        <w:t>澳大利亚养老金投资管理对我国的启示</w:t>
      </w:r>
    </w:p>
    <w:p w:rsidR="00C827CA" w:rsidRPr="00E85698" w:rsidRDefault="00E85698" w:rsidP="00E85698">
      <w:pPr>
        <w:pStyle w:val="2"/>
        <w:rPr>
          <w:sz w:val="28"/>
          <w:szCs w:val="28"/>
        </w:rPr>
      </w:pPr>
      <w:r w:rsidRPr="00E85698">
        <w:rPr>
          <w:rFonts w:hint="eastAsia"/>
          <w:sz w:val="28"/>
          <w:szCs w:val="28"/>
        </w:rPr>
        <w:t>（一）</w:t>
      </w:r>
      <w:r w:rsidR="00C827CA" w:rsidRPr="00E85698">
        <w:rPr>
          <w:rFonts w:hint="eastAsia"/>
          <w:sz w:val="28"/>
          <w:szCs w:val="28"/>
        </w:rPr>
        <w:t>适当放宽</w:t>
      </w:r>
      <w:r w:rsidR="00C827CA" w:rsidRPr="00E85698">
        <w:rPr>
          <w:sz w:val="28"/>
          <w:szCs w:val="28"/>
        </w:rPr>
        <w:t>市场准入</w:t>
      </w:r>
      <w:r w:rsidR="00C827CA" w:rsidRPr="00E85698">
        <w:rPr>
          <w:rFonts w:hint="eastAsia"/>
          <w:sz w:val="28"/>
          <w:szCs w:val="28"/>
        </w:rPr>
        <w:t>，</w:t>
      </w:r>
      <w:r w:rsidR="00C827CA" w:rsidRPr="00E85698">
        <w:rPr>
          <w:sz w:val="28"/>
          <w:szCs w:val="28"/>
        </w:rPr>
        <w:t>建立合理的</w:t>
      </w:r>
      <w:r w:rsidR="00C827CA" w:rsidRPr="00E85698">
        <w:rPr>
          <w:rFonts w:hint="eastAsia"/>
          <w:sz w:val="28"/>
          <w:szCs w:val="28"/>
        </w:rPr>
        <w:t>淘汰</w:t>
      </w:r>
      <w:r w:rsidR="00C827CA" w:rsidRPr="00E85698">
        <w:rPr>
          <w:sz w:val="28"/>
          <w:szCs w:val="28"/>
        </w:rPr>
        <w:t>机制</w:t>
      </w:r>
    </w:p>
    <w:p w:rsidR="00C827CA" w:rsidRDefault="00C827CA" w:rsidP="00C827CA">
      <w:r>
        <w:rPr>
          <w:rFonts w:hint="eastAsia"/>
        </w:rPr>
        <w:t>养老金</w:t>
      </w:r>
      <w:r>
        <w:t>资产管理</w:t>
      </w:r>
      <w:r>
        <w:rPr>
          <w:rFonts w:hint="eastAsia"/>
        </w:rPr>
        <w:t>从</w:t>
      </w:r>
      <w:r>
        <w:t>全球范围来看</w:t>
      </w:r>
      <w:r>
        <w:rPr>
          <w:rFonts w:hint="eastAsia"/>
        </w:rPr>
        <w:t>广泛</w:t>
      </w:r>
      <w:r>
        <w:t>的采用委托</w:t>
      </w:r>
      <w:r>
        <w:rPr>
          <w:rFonts w:hint="eastAsia"/>
        </w:rPr>
        <w:t>的</w:t>
      </w:r>
      <w:r>
        <w:t>方式，</w:t>
      </w:r>
      <w:r>
        <w:rPr>
          <w:rFonts w:hint="eastAsia"/>
        </w:rPr>
        <w:t>无论是</w:t>
      </w:r>
      <w:r>
        <w:t>内部委托还是外部委托</w:t>
      </w:r>
      <w:r>
        <w:rPr>
          <w:rFonts w:hint="eastAsia"/>
        </w:rPr>
        <w:t>，都</w:t>
      </w:r>
      <w:r>
        <w:t>对养老基金的</w:t>
      </w:r>
      <w:r>
        <w:rPr>
          <w:rFonts w:hint="eastAsia"/>
        </w:rPr>
        <w:t>保值增值</w:t>
      </w:r>
      <w:r>
        <w:t>起到了</w:t>
      </w:r>
      <w:r>
        <w:rPr>
          <w:rFonts w:hint="eastAsia"/>
        </w:rPr>
        <w:t>积极的</w:t>
      </w:r>
      <w:r>
        <w:t>作用</w:t>
      </w:r>
      <w:r>
        <w:rPr>
          <w:rFonts w:hint="eastAsia"/>
        </w:rPr>
        <w:t>。例如</w:t>
      </w:r>
      <w:r>
        <w:t>澳大利亚的超级年金</w:t>
      </w:r>
      <w:r>
        <w:rPr>
          <w:rFonts w:hint="eastAsia"/>
        </w:rPr>
        <w:t>所</w:t>
      </w:r>
      <w:r>
        <w:t>采取的</w:t>
      </w:r>
      <w:r>
        <w:rPr>
          <w:rFonts w:hint="eastAsia"/>
        </w:rPr>
        <w:t>审慎</w:t>
      </w:r>
      <w:r>
        <w:t>监管的方式，只要在审慎监管局注册的年金实体和基金都可以进行超级年金的受托管理和投资管理。</w:t>
      </w:r>
      <w:r>
        <w:rPr>
          <w:rFonts w:hint="eastAsia"/>
        </w:rPr>
        <w:t>审慎</w:t>
      </w:r>
      <w:r>
        <w:t>监管一定程度上增加了养老金管理市场的开发程度</w:t>
      </w:r>
      <w:r>
        <w:rPr>
          <w:rFonts w:hint="eastAsia"/>
        </w:rPr>
        <w:t>和</w:t>
      </w:r>
      <w:r>
        <w:t>市场的竞争性</w:t>
      </w:r>
      <w:r>
        <w:rPr>
          <w:rFonts w:hint="eastAsia"/>
        </w:rPr>
        <w:t>，</w:t>
      </w:r>
      <w:r>
        <w:t>使得各类机构有</w:t>
      </w:r>
      <w:r w:rsidR="00E21328">
        <w:rPr>
          <w:rFonts w:hint="eastAsia"/>
        </w:rPr>
        <w:t>积极性</w:t>
      </w:r>
      <w:r>
        <w:t>去提供更好的产品和服务。</w:t>
      </w:r>
      <w:r>
        <w:rPr>
          <w:rFonts w:hint="eastAsia"/>
        </w:rPr>
        <w:t>而</w:t>
      </w:r>
      <w:r>
        <w:t>我国</w:t>
      </w:r>
      <w:r>
        <w:rPr>
          <w:rFonts w:hint="eastAsia"/>
        </w:rPr>
        <w:t>的</w:t>
      </w:r>
      <w:r>
        <w:t>养老金管理无论</w:t>
      </w:r>
      <w:r>
        <w:rPr>
          <w:rFonts w:hint="eastAsia"/>
        </w:rPr>
        <w:t>基本</w:t>
      </w:r>
      <w:r>
        <w:t>养老金、企业年金还是作为储备养老金的全国社保基金都采用严格准入的数量监管的方式</w:t>
      </w:r>
      <w:r>
        <w:rPr>
          <w:rFonts w:hint="eastAsia"/>
        </w:rPr>
        <w:t>，</w:t>
      </w:r>
      <w:r>
        <w:t>一般这种方式比较容易形成市</w:t>
      </w:r>
      <w:r>
        <w:lastRenderedPageBreak/>
        <w:t>场的寡头垄断</w:t>
      </w:r>
      <w:r>
        <w:rPr>
          <w:rFonts w:hint="eastAsia"/>
        </w:rPr>
        <w:t>、造成</w:t>
      </w:r>
      <w:r>
        <w:t>服务供给不足，并</w:t>
      </w:r>
      <w:r>
        <w:rPr>
          <w:rFonts w:hint="eastAsia"/>
        </w:rPr>
        <w:t>形成</w:t>
      </w:r>
      <w:r>
        <w:t>较高的市场价格、降低市场运行效率</w:t>
      </w:r>
      <w:r>
        <w:rPr>
          <w:rFonts w:hint="eastAsia"/>
        </w:rPr>
        <w:t>。但</w:t>
      </w:r>
      <w:r>
        <w:t>我们</w:t>
      </w:r>
      <w:r>
        <w:rPr>
          <w:rFonts w:hint="eastAsia"/>
        </w:rPr>
        <w:t>同时</w:t>
      </w:r>
      <w:r>
        <w:t>注意到</w:t>
      </w:r>
      <w:r>
        <w:rPr>
          <w:rFonts w:hint="eastAsia"/>
        </w:rPr>
        <w:t>，</w:t>
      </w:r>
      <w:r>
        <w:t>监管模式</w:t>
      </w:r>
      <w:r>
        <w:rPr>
          <w:rFonts w:hint="eastAsia"/>
        </w:rPr>
        <w:t>的</w:t>
      </w:r>
      <w:r>
        <w:t>选择与一国的</w:t>
      </w:r>
      <w:r>
        <w:rPr>
          <w:rFonts w:hint="eastAsia"/>
        </w:rPr>
        <w:t>法律</w:t>
      </w:r>
      <w:r>
        <w:t>和</w:t>
      </w:r>
      <w:r>
        <w:rPr>
          <w:rFonts w:hint="eastAsia"/>
        </w:rPr>
        <w:t>投资</w:t>
      </w:r>
      <w:r>
        <w:t>环境</w:t>
      </w:r>
      <w:r>
        <w:rPr>
          <w:rFonts w:hint="eastAsia"/>
        </w:rPr>
        <w:t>有</w:t>
      </w:r>
      <w:r>
        <w:t>较大的关系，</w:t>
      </w:r>
      <w:r>
        <w:rPr>
          <w:rFonts w:hint="eastAsia"/>
        </w:rPr>
        <w:t>澳大利亚超级年金</w:t>
      </w:r>
      <w:r>
        <w:t>的审慎监管建立在其发展多年的资本市场制度上，</w:t>
      </w:r>
      <w:r>
        <w:rPr>
          <w:rFonts w:hint="eastAsia"/>
        </w:rPr>
        <w:t>其</w:t>
      </w:r>
      <w:r>
        <w:t>养老金的管理采用其资产管理</w:t>
      </w:r>
      <w:r>
        <w:rPr>
          <w:rFonts w:hint="eastAsia"/>
        </w:rPr>
        <w:t>体系</w:t>
      </w:r>
      <w:r>
        <w:t>中</w:t>
      </w:r>
      <w:r w:rsidR="00E21328">
        <w:t>的</w:t>
      </w:r>
      <w:r>
        <w:t>一贯做法，并没有特殊性。</w:t>
      </w:r>
      <w:r>
        <w:rPr>
          <w:rFonts w:hint="eastAsia"/>
        </w:rPr>
        <w:t>发达</w:t>
      </w:r>
      <w:r>
        <w:t>国家经过多年的发展，</w:t>
      </w:r>
      <w:r>
        <w:rPr>
          <w:rFonts w:hint="eastAsia"/>
        </w:rPr>
        <w:t>其</w:t>
      </w:r>
      <w:r>
        <w:t>金融</w:t>
      </w:r>
      <w:r>
        <w:rPr>
          <w:rFonts w:hint="eastAsia"/>
        </w:rPr>
        <w:t>体系</w:t>
      </w:r>
      <w:r>
        <w:t>和法律监管都高度发达，各类市场主体都十分成熟，采取审慎监管是自由经济发展的必然选择。</w:t>
      </w:r>
      <w:r>
        <w:rPr>
          <w:rFonts w:hint="eastAsia"/>
        </w:rPr>
        <w:t>但我</w:t>
      </w:r>
      <w:r>
        <w:t>国</w:t>
      </w:r>
      <w:r>
        <w:rPr>
          <w:rFonts w:hint="eastAsia"/>
        </w:rPr>
        <w:t>的</w:t>
      </w:r>
      <w:r>
        <w:t>资产市场</w:t>
      </w:r>
      <w:r>
        <w:rPr>
          <w:rFonts w:hint="eastAsia"/>
        </w:rPr>
        <w:t>与</w:t>
      </w:r>
      <w:r>
        <w:t>这些发达经济体还</w:t>
      </w:r>
      <w:r>
        <w:rPr>
          <w:rFonts w:hint="eastAsia"/>
        </w:rPr>
        <w:t>有</w:t>
      </w:r>
      <w:r>
        <w:t>一定的差距，</w:t>
      </w:r>
      <w:r>
        <w:rPr>
          <w:rFonts w:hint="eastAsia"/>
        </w:rPr>
        <w:t>制度</w:t>
      </w:r>
      <w:r>
        <w:t>体系和法律法规都处在改革变化之中</w:t>
      </w:r>
      <w:r w:rsidR="00C929B6">
        <w:rPr>
          <w:rFonts w:hint="eastAsia"/>
        </w:rPr>
        <w:t>。</w:t>
      </w:r>
      <w:r>
        <w:t>另外</w:t>
      </w:r>
      <w:r w:rsidR="00C929B6">
        <w:rPr>
          <w:rFonts w:hint="eastAsia"/>
        </w:rPr>
        <w:t>，</w:t>
      </w:r>
      <w:r>
        <w:t>我国</w:t>
      </w:r>
      <w:r>
        <w:rPr>
          <w:rFonts w:hint="eastAsia"/>
        </w:rPr>
        <w:t>的</w:t>
      </w:r>
      <w:r>
        <w:t>法律基础与英美法系不同，</w:t>
      </w:r>
      <w:r>
        <w:rPr>
          <w:rFonts w:hint="eastAsia"/>
        </w:rPr>
        <w:t>建立在</w:t>
      </w:r>
      <w:r>
        <w:t>其之上的制度体系也没有必要</w:t>
      </w:r>
      <w:r>
        <w:rPr>
          <w:rFonts w:hint="eastAsia"/>
        </w:rPr>
        <w:t>生搬硬套</w:t>
      </w:r>
      <w:r>
        <w:t>。</w:t>
      </w:r>
      <w:r>
        <w:rPr>
          <w:rFonts w:hint="eastAsia"/>
        </w:rPr>
        <w:t>考虑</w:t>
      </w:r>
      <w:r>
        <w:t>到</w:t>
      </w:r>
      <w:r>
        <w:rPr>
          <w:rFonts w:hint="eastAsia"/>
        </w:rPr>
        <w:t>以上</w:t>
      </w:r>
      <w:r>
        <w:t>两个方面的因素，</w:t>
      </w:r>
      <w:r>
        <w:rPr>
          <w:rFonts w:hint="eastAsia"/>
        </w:rPr>
        <w:t>我们</w:t>
      </w:r>
      <w:r>
        <w:t>认为</w:t>
      </w:r>
      <w:r>
        <w:rPr>
          <w:rFonts w:hint="eastAsia"/>
        </w:rPr>
        <w:t>适度</w:t>
      </w:r>
      <w:r>
        <w:t>的</w:t>
      </w:r>
      <w:r>
        <w:rPr>
          <w:rFonts w:hint="eastAsia"/>
        </w:rPr>
        <w:t>放宽</w:t>
      </w:r>
      <w:r>
        <w:t>市场准入，建立合理的</w:t>
      </w:r>
      <w:r>
        <w:rPr>
          <w:rFonts w:hint="eastAsia"/>
        </w:rPr>
        <w:t>淘汰</w:t>
      </w:r>
      <w:r>
        <w:t>机制有利于</w:t>
      </w:r>
      <w:r>
        <w:rPr>
          <w:rFonts w:hint="eastAsia"/>
        </w:rPr>
        <w:t>加强</w:t>
      </w:r>
      <w:r>
        <w:t>市场的竞争性，</w:t>
      </w:r>
      <w:r>
        <w:rPr>
          <w:rFonts w:hint="eastAsia"/>
        </w:rPr>
        <w:t>增加</w:t>
      </w:r>
      <w:r>
        <w:t>市场活力，</w:t>
      </w:r>
      <w:r>
        <w:rPr>
          <w:rFonts w:hint="eastAsia"/>
        </w:rPr>
        <w:t>既</w:t>
      </w:r>
      <w:r>
        <w:t>能促进</w:t>
      </w:r>
      <w:r>
        <w:rPr>
          <w:rFonts w:hint="eastAsia"/>
        </w:rPr>
        <w:t>资产</w:t>
      </w:r>
      <w:r>
        <w:t>管理机构在竞争</w:t>
      </w:r>
      <w:r>
        <w:rPr>
          <w:rFonts w:hint="eastAsia"/>
        </w:rPr>
        <w:t>中快速</w:t>
      </w:r>
      <w:r>
        <w:t>成长，也</w:t>
      </w:r>
      <w:r>
        <w:rPr>
          <w:rFonts w:hint="eastAsia"/>
        </w:rPr>
        <w:t>能</w:t>
      </w:r>
      <w:r>
        <w:t>更好的实现</w:t>
      </w:r>
      <w:r>
        <w:rPr>
          <w:rFonts w:hint="eastAsia"/>
        </w:rPr>
        <w:t>养老基金</w:t>
      </w:r>
      <w:r>
        <w:t>的保值增值。</w:t>
      </w:r>
    </w:p>
    <w:p w:rsidR="00F27DE1" w:rsidRPr="003A6805" w:rsidRDefault="00F27DE1" w:rsidP="00C827CA"/>
    <w:p w:rsidR="00C827CA" w:rsidRPr="00F27DE1" w:rsidRDefault="00F27DE1" w:rsidP="00F27DE1">
      <w:pPr>
        <w:pStyle w:val="2"/>
        <w:rPr>
          <w:sz w:val="28"/>
          <w:szCs w:val="28"/>
        </w:rPr>
      </w:pPr>
      <w:r>
        <w:rPr>
          <w:rFonts w:hint="eastAsia"/>
          <w:sz w:val="28"/>
          <w:szCs w:val="28"/>
        </w:rPr>
        <w:t>（二）</w:t>
      </w:r>
      <w:r w:rsidR="00C827CA" w:rsidRPr="00F27DE1">
        <w:rPr>
          <w:rFonts w:hint="eastAsia"/>
          <w:sz w:val="28"/>
          <w:szCs w:val="28"/>
        </w:rPr>
        <w:t>适当</w:t>
      </w:r>
      <w:r w:rsidR="00C827CA" w:rsidRPr="00F27DE1">
        <w:rPr>
          <w:sz w:val="28"/>
          <w:szCs w:val="28"/>
        </w:rPr>
        <w:t>扩大</w:t>
      </w:r>
      <w:r w:rsidR="00C827CA" w:rsidRPr="00F27DE1">
        <w:rPr>
          <w:rFonts w:hint="eastAsia"/>
          <w:sz w:val="28"/>
          <w:szCs w:val="28"/>
        </w:rPr>
        <w:t>投资品</w:t>
      </w:r>
      <w:r w:rsidR="00C827CA" w:rsidRPr="00F27DE1">
        <w:rPr>
          <w:sz w:val="28"/>
          <w:szCs w:val="28"/>
        </w:rPr>
        <w:t>范围，</w:t>
      </w:r>
      <w:r w:rsidR="00C827CA" w:rsidRPr="00F27DE1">
        <w:rPr>
          <w:rFonts w:hint="eastAsia"/>
          <w:sz w:val="28"/>
          <w:szCs w:val="28"/>
        </w:rPr>
        <w:t>放宽</w:t>
      </w:r>
      <w:r w:rsidR="00C827CA" w:rsidRPr="00F27DE1">
        <w:rPr>
          <w:sz w:val="28"/>
          <w:szCs w:val="28"/>
        </w:rPr>
        <w:t>配置限制</w:t>
      </w:r>
    </w:p>
    <w:p w:rsidR="00C827CA" w:rsidRDefault="00C827CA" w:rsidP="00C827CA">
      <w:r>
        <w:rPr>
          <w:rFonts w:hint="eastAsia"/>
        </w:rPr>
        <w:t>从</w:t>
      </w:r>
      <w:r>
        <w:t>澳大利亚超级年金和未来基金的</w:t>
      </w:r>
      <w:r>
        <w:rPr>
          <w:rFonts w:hint="eastAsia"/>
        </w:rPr>
        <w:t>资产</w:t>
      </w:r>
      <w:r>
        <w:t>配置范围中可以看到</w:t>
      </w:r>
      <w:r w:rsidR="00F27DE1">
        <w:rPr>
          <w:rFonts w:hint="eastAsia"/>
        </w:rPr>
        <w:t>，</w:t>
      </w:r>
      <w:r>
        <w:rPr>
          <w:rFonts w:hint="eastAsia"/>
        </w:rPr>
        <w:t>澳大利亚</w:t>
      </w:r>
      <w:r>
        <w:t>的养老基金资产配置范围十分的广泛。</w:t>
      </w:r>
      <w:r>
        <w:rPr>
          <w:rFonts w:hint="eastAsia"/>
        </w:rPr>
        <w:t>既有</w:t>
      </w:r>
      <w:r>
        <w:t>国内外</w:t>
      </w:r>
      <w:r>
        <w:rPr>
          <w:rFonts w:hint="eastAsia"/>
        </w:rPr>
        <w:t>现金、债券、</w:t>
      </w:r>
      <w:r>
        <w:t>股票</w:t>
      </w:r>
      <w:r>
        <w:rPr>
          <w:rFonts w:hint="eastAsia"/>
        </w:rPr>
        <w:t>等</w:t>
      </w:r>
      <w:r>
        <w:t>常规的投资工具，也包含了地产、基建、期货、对冲基金，甚至</w:t>
      </w:r>
      <w:r>
        <w:rPr>
          <w:rFonts w:hint="eastAsia"/>
        </w:rPr>
        <w:t>PE</w:t>
      </w:r>
      <w:r>
        <w:rPr>
          <w:rFonts w:hint="eastAsia"/>
        </w:rPr>
        <w:t>、</w:t>
      </w:r>
      <w:r>
        <w:t>VC</w:t>
      </w:r>
      <w:r>
        <w:t>等另类投资</w:t>
      </w:r>
      <w:r>
        <w:rPr>
          <w:rFonts w:hint="eastAsia"/>
        </w:rPr>
        <w:t>，</w:t>
      </w:r>
      <w:r w:rsidR="00F27DE1">
        <w:t>充分</w:t>
      </w:r>
      <w:r>
        <w:t>发挥了分散化投资降低风险</w:t>
      </w:r>
      <w:r w:rsidR="00F27DE1">
        <w:rPr>
          <w:rFonts w:hint="eastAsia"/>
        </w:rPr>
        <w:t>的</w:t>
      </w:r>
      <w:r>
        <w:t>作用。</w:t>
      </w:r>
      <w:r>
        <w:rPr>
          <w:rFonts w:hint="eastAsia"/>
        </w:rPr>
        <w:t>另外澳大利亚</w:t>
      </w:r>
      <w:r>
        <w:t>的养老</w:t>
      </w:r>
      <w:r>
        <w:rPr>
          <w:rFonts w:hint="eastAsia"/>
        </w:rPr>
        <w:t>基金十分</w:t>
      </w:r>
      <w:r>
        <w:t>重视资产配置的作用，权益类的投资在</w:t>
      </w:r>
      <w:r>
        <w:rPr>
          <w:rFonts w:hint="eastAsia"/>
        </w:rPr>
        <w:t>养老</w:t>
      </w:r>
      <w:r>
        <w:t>基金</w:t>
      </w:r>
      <w:r>
        <w:rPr>
          <w:rFonts w:hint="eastAsia"/>
        </w:rPr>
        <w:t>的保值</w:t>
      </w:r>
      <w:r>
        <w:t>增值中起</w:t>
      </w:r>
      <w:r w:rsidR="00F27DE1">
        <w:rPr>
          <w:rFonts w:hint="eastAsia"/>
        </w:rPr>
        <w:t>到</w:t>
      </w:r>
      <w:r>
        <w:t>了重要的作用。</w:t>
      </w:r>
      <w:r>
        <w:rPr>
          <w:rFonts w:hint="eastAsia"/>
        </w:rPr>
        <w:t>澳大利亚超级</w:t>
      </w:r>
      <w:r>
        <w:t>年金和未来基金在</w:t>
      </w:r>
      <w:r>
        <w:rPr>
          <w:rFonts w:hint="eastAsia"/>
        </w:rPr>
        <w:t>现金</w:t>
      </w:r>
      <w:r>
        <w:t>和债券</w:t>
      </w:r>
      <w:r>
        <w:rPr>
          <w:rFonts w:hint="eastAsia"/>
        </w:rPr>
        <w:t>类</w:t>
      </w:r>
      <w:r>
        <w:t>资产的配置合计约为</w:t>
      </w:r>
      <w:r>
        <w:rPr>
          <w:rFonts w:hint="eastAsia"/>
        </w:rPr>
        <w:t>全部</w:t>
      </w:r>
      <w:r>
        <w:t>基金资产的</w:t>
      </w:r>
      <w:r>
        <w:rPr>
          <w:rFonts w:hint="eastAsia"/>
        </w:rPr>
        <w:t>30</w:t>
      </w:r>
      <w:r>
        <w:t>%</w:t>
      </w:r>
      <w:r w:rsidR="00A72FC7">
        <w:rPr>
          <w:rFonts w:hint="eastAsia"/>
        </w:rPr>
        <w:t>,</w:t>
      </w:r>
      <w:r w:rsidR="00A72FC7">
        <w:rPr>
          <w:rFonts w:hint="eastAsia"/>
        </w:rPr>
        <w:t>大量</w:t>
      </w:r>
      <w:r w:rsidR="00A72FC7">
        <w:t>的资产投资于</w:t>
      </w:r>
      <w:r w:rsidR="00A72FC7">
        <w:rPr>
          <w:rFonts w:hint="eastAsia"/>
        </w:rPr>
        <w:t>澳大利亚</w:t>
      </w:r>
      <w:r w:rsidR="00A72FC7">
        <w:t>国内外股权</w:t>
      </w:r>
      <w:r w:rsidR="00A72FC7">
        <w:rPr>
          <w:rFonts w:hint="eastAsia"/>
        </w:rPr>
        <w:t>、</w:t>
      </w:r>
      <w:r w:rsidR="00A72FC7">
        <w:t>房地产和基础设施</w:t>
      </w:r>
      <w:r>
        <w:rPr>
          <w:rFonts w:hint="eastAsia"/>
        </w:rPr>
        <w:t>；</w:t>
      </w:r>
      <w:r w:rsidR="00A72FC7">
        <w:rPr>
          <w:rFonts w:hint="eastAsia"/>
        </w:rPr>
        <w:t>目前我</w:t>
      </w:r>
      <w:r w:rsidR="00A72FC7">
        <w:t>国</w:t>
      </w:r>
      <w:r>
        <w:t>的企业年金对权益类投资的限制为</w:t>
      </w:r>
      <w:r>
        <w:rPr>
          <w:rFonts w:hint="eastAsia"/>
        </w:rPr>
        <w:t>30</w:t>
      </w:r>
      <w:r>
        <w:t>%</w:t>
      </w:r>
      <w:r>
        <w:t>，</w:t>
      </w:r>
      <w:r>
        <w:rPr>
          <w:rFonts w:hint="eastAsia"/>
        </w:rPr>
        <w:t>实际</w:t>
      </w:r>
      <w:r>
        <w:t>运作中权益类资产的配置远小于</w:t>
      </w:r>
      <w:r>
        <w:rPr>
          <w:rFonts w:hint="eastAsia"/>
        </w:rPr>
        <w:t>30</w:t>
      </w:r>
      <w:r>
        <w:t>%</w:t>
      </w:r>
      <w:r>
        <w:rPr>
          <w:rFonts w:hint="eastAsia"/>
        </w:rPr>
        <w:t>，储备</w:t>
      </w:r>
      <w:r>
        <w:t>养老金的权益类投资</w:t>
      </w:r>
      <w:r>
        <w:rPr>
          <w:rFonts w:hint="eastAsia"/>
        </w:rPr>
        <w:t>限制</w:t>
      </w:r>
      <w:r>
        <w:t>为</w:t>
      </w:r>
      <w:r w:rsidR="004E7870">
        <w:t>3</w:t>
      </w:r>
      <w:r w:rsidR="004E7870">
        <w:rPr>
          <w:rFonts w:hint="eastAsia"/>
        </w:rPr>
        <w:t>0</w:t>
      </w:r>
      <w:r>
        <w:t>%</w:t>
      </w:r>
      <w:r>
        <w:rPr>
          <w:rFonts w:hint="eastAsia"/>
        </w:rPr>
        <w:t>，对</w:t>
      </w:r>
      <w:r>
        <w:t>长期</w:t>
      </w:r>
      <w:r w:rsidR="00A72FC7">
        <w:rPr>
          <w:rFonts w:hint="eastAsia"/>
        </w:rPr>
        <w:t>投资</w:t>
      </w:r>
      <w:r>
        <w:t>来说这样的</w:t>
      </w:r>
      <w:r>
        <w:rPr>
          <w:rFonts w:hint="eastAsia"/>
        </w:rPr>
        <w:t>资产</w:t>
      </w:r>
      <w:r>
        <w:t>配置比例还是偏保守的</w:t>
      </w:r>
      <w:r>
        <w:rPr>
          <w:rFonts w:hint="eastAsia"/>
        </w:rPr>
        <w:t>。</w:t>
      </w:r>
    </w:p>
    <w:p w:rsidR="00C827CA" w:rsidRDefault="00F27DE1" w:rsidP="00F27DE1">
      <w:pPr>
        <w:pStyle w:val="2"/>
      </w:pPr>
      <w:r>
        <w:rPr>
          <w:rFonts w:hint="eastAsia"/>
          <w:sz w:val="28"/>
          <w:szCs w:val="28"/>
        </w:rPr>
        <w:t>（三）</w:t>
      </w:r>
      <w:r w:rsidR="004E7870" w:rsidRPr="00F27DE1">
        <w:rPr>
          <w:sz w:val="28"/>
          <w:szCs w:val="28"/>
        </w:rPr>
        <w:t xml:space="preserve"> </w:t>
      </w:r>
      <w:r w:rsidR="00C827CA" w:rsidRPr="00F27DE1">
        <w:rPr>
          <w:rFonts w:hint="eastAsia"/>
          <w:sz w:val="28"/>
          <w:szCs w:val="28"/>
        </w:rPr>
        <w:t>建立</w:t>
      </w:r>
      <w:r w:rsidR="00C827CA" w:rsidRPr="00F27DE1">
        <w:rPr>
          <w:sz w:val="28"/>
          <w:szCs w:val="28"/>
        </w:rPr>
        <w:t>合适的</w:t>
      </w:r>
      <w:r w:rsidR="00C827CA" w:rsidRPr="00F27DE1">
        <w:rPr>
          <w:rFonts w:hint="eastAsia"/>
          <w:sz w:val="28"/>
          <w:szCs w:val="28"/>
        </w:rPr>
        <w:t>业绩</w:t>
      </w:r>
      <w:r w:rsidR="00C827CA" w:rsidRPr="00F27DE1">
        <w:rPr>
          <w:sz w:val="28"/>
          <w:szCs w:val="28"/>
        </w:rPr>
        <w:t>考核机制，</w:t>
      </w:r>
      <w:r w:rsidR="00C827CA" w:rsidRPr="00F27DE1">
        <w:rPr>
          <w:rFonts w:hint="eastAsia"/>
          <w:sz w:val="28"/>
          <w:szCs w:val="28"/>
        </w:rPr>
        <w:t>给与投资者</w:t>
      </w:r>
      <w:r w:rsidR="00C827CA" w:rsidRPr="00F27DE1">
        <w:rPr>
          <w:sz w:val="28"/>
          <w:szCs w:val="28"/>
        </w:rPr>
        <w:t>一定的选择权</w:t>
      </w:r>
    </w:p>
    <w:p w:rsidR="00C827CA" w:rsidRDefault="00C827CA" w:rsidP="00C827CA">
      <w:r>
        <w:t>我们也注意到，投资范围和配置限制的设置</w:t>
      </w:r>
      <w:r>
        <w:rPr>
          <w:rFonts w:hint="eastAsia"/>
        </w:rPr>
        <w:t>并</w:t>
      </w:r>
      <w:r>
        <w:t>不是</w:t>
      </w:r>
      <w:r>
        <w:rPr>
          <w:rFonts w:hint="eastAsia"/>
        </w:rPr>
        <w:t>独立</w:t>
      </w:r>
      <w:r>
        <w:t>的，它也涉及整个</w:t>
      </w:r>
      <w:r>
        <w:rPr>
          <w:rFonts w:hint="eastAsia"/>
        </w:rPr>
        <w:t>市场</w:t>
      </w:r>
      <w:r>
        <w:t>法规、监管和投资者环境各方面的限制。</w:t>
      </w:r>
      <w:r>
        <w:rPr>
          <w:rFonts w:hint="eastAsia"/>
        </w:rPr>
        <w:t>例如</w:t>
      </w:r>
      <w:r w:rsidR="00D60854">
        <w:rPr>
          <w:rFonts w:hint="eastAsia"/>
        </w:rPr>
        <w:t>，</w:t>
      </w:r>
      <w:r>
        <w:rPr>
          <w:rFonts w:hint="eastAsia"/>
        </w:rPr>
        <w:t>国内市场上存在</w:t>
      </w:r>
      <w:r>
        <w:t>对企业年金的业绩考核</w:t>
      </w:r>
      <w:r>
        <w:rPr>
          <w:rFonts w:hint="eastAsia"/>
        </w:rPr>
        <w:t>期限</w:t>
      </w:r>
      <w:r>
        <w:t>设置较短</w:t>
      </w:r>
      <w:r>
        <w:rPr>
          <w:rFonts w:hint="eastAsia"/>
        </w:rPr>
        <w:t>的</w:t>
      </w:r>
      <w:r>
        <w:t>情况，使得</w:t>
      </w:r>
      <w:r>
        <w:rPr>
          <w:rFonts w:hint="eastAsia"/>
        </w:rPr>
        <w:t>投资</w:t>
      </w:r>
      <w:r>
        <w:t>管理人的投资行为</w:t>
      </w:r>
      <w:r>
        <w:rPr>
          <w:rFonts w:hint="eastAsia"/>
        </w:rPr>
        <w:t>短期化</w:t>
      </w:r>
      <w:r>
        <w:t>保守</w:t>
      </w:r>
      <w:r>
        <w:rPr>
          <w:rFonts w:hint="eastAsia"/>
        </w:rPr>
        <w:t>化</w:t>
      </w:r>
      <w:r>
        <w:t>，限制了</w:t>
      </w:r>
      <w:r>
        <w:rPr>
          <w:rFonts w:hint="eastAsia"/>
        </w:rPr>
        <w:t>企业</w:t>
      </w:r>
      <w:r>
        <w:t>年金的资产配置，这与养老金长期化投资</w:t>
      </w:r>
      <w:r w:rsidR="00E21328">
        <w:rPr>
          <w:rFonts w:hint="eastAsia"/>
        </w:rPr>
        <w:t>、</w:t>
      </w:r>
      <w:r w:rsidR="005518BA">
        <w:t>重视资产配置的理念是相违背的</w:t>
      </w:r>
      <w:r w:rsidR="005518BA">
        <w:rPr>
          <w:rFonts w:hint="eastAsia"/>
        </w:rPr>
        <w:t>。</w:t>
      </w:r>
    </w:p>
    <w:p w:rsidR="00F27DE1" w:rsidRDefault="00F27DE1" w:rsidP="00C827CA"/>
    <w:p w:rsidR="008E6DBF" w:rsidRDefault="00C827CA" w:rsidP="008E6DBF">
      <w:r>
        <w:rPr>
          <w:rFonts w:hint="eastAsia"/>
        </w:rPr>
        <w:t>澳大利亚超级年金</w:t>
      </w:r>
      <w:r>
        <w:t>实体</w:t>
      </w:r>
      <w:r>
        <w:rPr>
          <w:rFonts w:hint="eastAsia"/>
        </w:rPr>
        <w:t>一般会以</w:t>
      </w:r>
      <w:r>
        <w:t>超过</w:t>
      </w:r>
      <w:r>
        <w:t>CPI</w:t>
      </w:r>
      <w:r>
        <w:rPr>
          <w:rFonts w:hint="eastAsia"/>
        </w:rPr>
        <w:t>水平</w:t>
      </w:r>
      <w:r>
        <w:t>一定的百分比</w:t>
      </w:r>
      <w:r>
        <w:rPr>
          <w:rFonts w:hint="eastAsia"/>
        </w:rPr>
        <w:t>作为</w:t>
      </w:r>
      <w:r>
        <w:t>投资目标，以</w:t>
      </w:r>
      <w:r>
        <w:rPr>
          <w:rFonts w:hint="eastAsia"/>
        </w:rPr>
        <w:t>超过</w:t>
      </w:r>
      <w:r>
        <w:t>不同</w:t>
      </w:r>
      <w:r w:rsidR="008E6DBF">
        <w:t>的水平分为不同的风险类别，再根据不同的风险分类进行大类资产配置</w:t>
      </w:r>
      <w:r w:rsidR="008E6DBF">
        <w:rPr>
          <w:rFonts w:hint="eastAsia"/>
        </w:rPr>
        <w:t>。另外</w:t>
      </w:r>
      <w:r w:rsidR="00A72FC7">
        <w:rPr>
          <w:rFonts w:hint="eastAsia"/>
        </w:rPr>
        <w:t>根据</w:t>
      </w:r>
      <w:r w:rsidR="00A72FC7">
        <w:t>投资期限的不同</w:t>
      </w:r>
      <w:r w:rsidR="00A72FC7">
        <w:rPr>
          <w:rFonts w:hint="eastAsia"/>
        </w:rPr>
        <w:t>，超</w:t>
      </w:r>
      <w:r w:rsidR="00A72FC7">
        <w:t>级年金实体对</w:t>
      </w:r>
      <w:r w:rsidR="00A72FC7">
        <w:rPr>
          <w:rFonts w:hint="eastAsia"/>
        </w:rPr>
        <w:t>相同</w:t>
      </w:r>
      <w:r w:rsidR="00A72FC7">
        <w:t>的资产配置给出了不同的风险水平提示。</w:t>
      </w:r>
      <w:r w:rsidR="008E6DBF">
        <w:rPr>
          <w:rFonts w:hint="eastAsia"/>
        </w:rPr>
        <w:t>澳大利亚</w:t>
      </w:r>
      <w:r w:rsidR="008E6DBF">
        <w:t>的雇员对自己养老金</w:t>
      </w:r>
      <w:r w:rsidR="008E6DBF">
        <w:rPr>
          <w:rFonts w:hint="eastAsia"/>
        </w:rPr>
        <w:t>的</w:t>
      </w:r>
      <w:r w:rsidR="008E6DBF">
        <w:t>投资管理有很大的自由度。</w:t>
      </w:r>
      <w:r w:rsidR="008E6DBF">
        <w:rPr>
          <w:rFonts w:hint="eastAsia"/>
        </w:rPr>
        <w:t>市场</w:t>
      </w:r>
      <w:r w:rsidR="008E6DBF">
        <w:t>上充分竞争的超级年金实体为客户提供了</w:t>
      </w:r>
      <w:r w:rsidR="008E6DBF">
        <w:rPr>
          <w:rFonts w:hint="eastAsia"/>
        </w:rPr>
        <w:t>十分</w:t>
      </w:r>
      <w:r w:rsidR="008E6DBF">
        <w:t>灵活的投资方式。从</w:t>
      </w:r>
      <w:r w:rsidR="008E6DBF">
        <w:rPr>
          <w:rFonts w:hint="eastAsia"/>
        </w:rPr>
        <w:t>资产</w:t>
      </w:r>
      <w:r w:rsidR="008E6DBF">
        <w:t>配置到实际投资，投资者</w:t>
      </w:r>
      <w:r w:rsidR="008E6DBF">
        <w:rPr>
          <w:rFonts w:hint="eastAsia"/>
        </w:rPr>
        <w:t>既可以</w:t>
      </w:r>
      <w:r w:rsidR="008E6DBF">
        <w:t>选择由超级年金实体提供的资产配置建议，也可以</w:t>
      </w:r>
      <w:r w:rsidR="008E6DBF">
        <w:rPr>
          <w:rFonts w:hint="eastAsia"/>
        </w:rPr>
        <w:t>根据</w:t>
      </w:r>
      <w:r w:rsidR="008E6DBF">
        <w:t>自身的风险承受水平选择合适的配置方式</w:t>
      </w:r>
      <w:r w:rsidR="008E6DBF">
        <w:rPr>
          <w:rFonts w:hint="eastAsia"/>
        </w:rPr>
        <w:t>，</w:t>
      </w:r>
      <w:r w:rsidR="008E6DBF">
        <w:t>有能力的投资者还可以自己</w:t>
      </w:r>
      <w:r w:rsidR="008E6DBF">
        <w:rPr>
          <w:rFonts w:hint="eastAsia"/>
        </w:rPr>
        <w:t>选择</w:t>
      </w:r>
      <w:r w:rsidR="008E6DBF">
        <w:t>具体的投资标的。</w:t>
      </w:r>
      <w:r w:rsidR="008E6DBF">
        <w:rPr>
          <w:rFonts w:hint="eastAsia"/>
        </w:rPr>
        <w:t>另外</w:t>
      </w:r>
      <w:r w:rsidR="00D60854">
        <w:rPr>
          <w:rFonts w:hint="eastAsia"/>
        </w:rPr>
        <w:t>，</w:t>
      </w:r>
      <w:r w:rsidR="008E6DBF">
        <w:t>澳大利亚政府</w:t>
      </w:r>
      <w:r w:rsidR="008E6DBF">
        <w:rPr>
          <w:rFonts w:hint="eastAsia"/>
        </w:rPr>
        <w:t>在</w:t>
      </w:r>
      <w:r w:rsidR="008E6DBF">
        <w:rPr>
          <w:rFonts w:hint="eastAsia"/>
        </w:rPr>
        <w:t>2013</w:t>
      </w:r>
      <w:r w:rsidR="008E6DBF">
        <w:rPr>
          <w:rFonts w:hint="eastAsia"/>
        </w:rPr>
        <w:t>年引入</w:t>
      </w:r>
      <w:r w:rsidR="008E6DBF">
        <w:t>作为雇员默认</w:t>
      </w:r>
      <w:r w:rsidR="008E6DBF">
        <w:rPr>
          <w:rFonts w:hint="eastAsia"/>
        </w:rPr>
        <w:t>投资</w:t>
      </w:r>
      <w:r w:rsidR="008E6DBF">
        <w:t>选择的</w:t>
      </w:r>
      <w:r w:rsidR="008E6DBF">
        <w:rPr>
          <w:rFonts w:hint="eastAsia"/>
        </w:rPr>
        <w:t>超级</w:t>
      </w:r>
      <w:r w:rsidR="008E6DBF">
        <w:t>年金账户</w:t>
      </w:r>
      <w:r w:rsidR="008E6DBF">
        <w:t>“Mysuper”</w:t>
      </w:r>
      <w:r w:rsidR="008E6DBF">
        <w:rPr>
          <w:rFonts w:hint="eastAsia"/>
        </w:rPr>
        <w:t>的</w:t>
      </w:r>
      <w:r w:rsidR="008E6DBF">
        <w:t>账户</w:t>
      </w:r>
      <w:r w:rsidR="008E6DBF">
        <w:rPr>
          <w:rFonts w:hint="eastAsia"/>
        </w:rPr>
        <w:t>一般</w:t>
      </w:r>
      <w:r w:rsidR="008E6DBF">
        <w:t>采用</w:t>
      </w:r>
      <w:r w:rsidR="008E6DBF">
        <w:rPr>
          <w:rFonts w:hint="eastAsia"/>
        </w:rPr>
        <w:t>目标</w:t>
      </w:r>
      <w:r w:rsidR="008E6DBF">
        <w:t>日期策略，</w:t>
      </w:r>
      <w:r w:rsidR="008E6DBF">
        <w:rPr>
          <w:rFonts w:hint="eastAsia"/>
        </w:rPr>
        <w:t>根据</w:t>
      </w:r>
      <w:r w:rsidR="008E6DBF">
        <w:t>雇员的年龄增长减少权益类的配置</w:t>
      </w:r>
      <w:r w:rsidR="008E6DBF">
        <w:rPr>
          <w:rFonts w:hint="eastAsia"/>
        </w:rPr>
        <w:t>，</w:t>
      </w:r>
      <w:r w:rsidR="008E6DBF">
        <w:t>为</w:t>
      </w:r>
      <w:r w:rsidR="008E6DBF">
        <w:rPr>
          <w:rFonts w:hint="eastAsia"/>
        </w:rPr>
        <w:t>“不选择”的</w:t>
      </w:r>
      <w:r w:rsidR="008E6DBF">
        <w:t>雇员提供了较好的投资方式。</w:t>
      </w:r>
    </w:p>
    <w:p w:rsidR="00F27DE1" w:rsidRDefault="00F27DE1" w:rsidP="00F27DE1"/>
    <w:p w:rsidR="00C827CA" w:rsidRDefault="00923FAD" w:rsidP="00F27DE1">
      <w:r>
        <w:t>投资者根据自身的风险承受能力了解和选择合适的资产配置方式。</w:t>
      </w:r>
      <w:r w:rsidR="00812A1D">
        <w:rPr>
          <w:rFonts w:hint="eastAsia"/>
        </w:rPr>
        <w:t>一方面</w:t>
      </w:r>
      <w:r w:rsidR="00812A1D">
        <w:t>能够让风险承受水平较高的投资者能够享受到风险资产带来的回报，</w:t>
      </w:r>
      <w:r w:rsidR="00316872">
        <w:rPr>
          <w:rFonts w:hint="eastAsia"/>
        </w:rPr>
        <w:t>风险</w:t>
      </w:r>
      <w:r w:rsidR="00316872">
        <w:t>承受</w:t>
      </w:r>
      <w:r w:rsidR="00316872">
        <w:rPr>
          <w:rFonts w:hint="eastAsia"/>
        </w:rPr>
        <w:t>水平</w:t>
      </w:r>
      <w:r w:rsidR="00316872">
        <w:t>低的投资者避免承受过</w:t>
      </w:r>
      <w:r w:rsidR="00316872">
        <w:rPr>
          <w:rFonts w:hint="eastAsia"/>
        </w:rPr>
        <w:t>多</w:t>
      </w:r>
      <w:r w:rsidR="00316872">
        <w:t>的风险</w:t>
      </w:r>
      <w:r w:rsidR="00316872">
        <w:rPr>
          <w:rFonts w:hint="eastAsia"/>
        </w:rPr>
        <w:t>；</w:t>
      </w:r>
      <w:r w:rsidR="00C827CA">
        <w:rPr>
          <w:rFonts w:hint="eastAsia"/>
        </w:rPr>
        <w:t>另一</w:t>
      </w:r>
      <w:r w:rsidR="00C827CA">
        <w:t>方面</w:t>
      </w:r>
      <w:r w:rsidR="00C86AD4">
        <w:rPr>
          <w:rFonts w:hint="eastAsia"/>
        </w:rPr>
        <w:t>也可以</w:t>
      </w:r>
      <w:r w:rsidR="00C827CA">
        <w:t>解决养老</w:t>
      </w:r>
      <w:r w:rsidR="00C827CA">
        <w:rPr>
          <w:rFonts w:hint="eastAsia"/>
        </w:rPr>
        <w:t>基金</w:t>
      </w:r>
      <w:r w:rsidR="00C827CA">
        <w:t>投资</w:t>
      </w:r>
      <w:r w:rsidR="00C827CA">
        <w:rPr>
          <w:rFonts w:hint="eastAsia"/>
        </w:rPr>
        <w:t>保守化</w:t>
      </w:r>
      <w:r w:rsidR="00C827CA">
        <w:t>、同质化的问题。</w:t>
      </w:r>
    </w:p>
    <w:p w:rsidR="008B46B3" w:rsidRDefault="008B46B3" w:rsidP="008B46B3">
      <w:pPr>
        <w:rPr>
          <w:sz w:val="28"/>
        </w:rPr>
      </w:pPr>
      <w:r w:rsidRPr="004002FA">
        <w:rPr>
          <w:rFonts w:hint="eastAsia"/>
          <w:sz w:val="28"/>
        </w:rPr>
        <w:lastRenderedPageBreak/>
        <w:t>参考文献</w:t>
      </w:r>
    </w:p>
    <w:p w:rsidR="00F27DE1" w:rsidRPr="004002FA" w:rsidRDefault="00F27DE1" w:rsidP="008B46B3">
      <w:pPr>
        <w:rPr>
          <w:sz w:val="28"/>
        </w:rPr>
      </w:pPr>
    </w:p>
    <w:p w:rsidR="008B46B3" w:rsidRDefault="008B46B3" w:rsidP="008B46B3">
      <w:pPr>
        <w:ind w:firstLine="420"/>
      </w:pPr>
      <w:r w:rsidRPr="00DE328D">
        <w:t>Gender Indicators</w:t>
      </w:r>
      <w:r>
        <w:t>,</w:t>
      </w:r>
      <w:r w:rsidRPr="006B523D">
        <w:t xml:space="preserve"> </w:t>
      </w:r>
      <w:r w:rsidRPr="00DE328D">
        <w:t>2017</w:t>
      </w:r>
      <w:r>
        <w:t>, Cat. No.</w:t>
      </w:r>
      <w:r w:rsidRPr="00DE328D">
        <w:t>4125.0,</w:t>
      </w:r>
      <w:r w:rsidRPr="00DE328D">
        <w:rPr>
          <w:rFonts w:hint="eastAsia"/>
        </w:rPr>
        <w:t xml:space="preserve"> </w:t>
      </w:r>
      <w:r w:rsidRPr="006B523D">
        <w:t>Australian</w:t>
      </w:r>
      <w:r>
        <w:rPr>
          <w:rFonts w:hint="eastAsia"/>
        </w:rPr>
        <w:t xml:space="preserve"> </w:t>
      </w:r>
      <w:r w:rsidRPr="006B523D">
        <w:t>Bureau of Statistics</w:t>
      </w:r>
      <w:r>
        <w:t>,</w:t>
      </w:r>
      <w:r w:rsidRPr="00DE328D">
        <w:t xml:space="preserve"> </w:t>
      </w:r>
      <w:r w:rsidRPr="00934D40">
        <w:t>Canberra.</w:t>
      </w:r>
    </w:p>
    <w:p w:rsidR="00F27DE1" w:rsidRDefault="00F27DE1" w:rsidP="008B46B3">
      <w:pPr>
        <w:ind w:firstLine="420"/>
      </w:pPr>
    </w:p>
    <w:p w:rsidR="008B46B3" w:rsidRDefault="008B46B3" w:rsidP="008B46B3">
      <w:pPr>
        <w:ind w:firstLine="420"/>
      </w:pPr>
      <w:r w:rsidRPr="00934D40">
        <w:t>Australian Government</w:t>
      </w:r>
      <w:r>
        <w:rPr>
          <w:rFonts w:hint="eastAsia"/>
        </w:rPr>
        <w:t>, Australia</w:t>
      </w:r>
      <w:r>
        <w:t>’s Future tax system</w:t>
      </w:r>
      <w:r w:rsidRPr="00DE328D">
        <w:rPr>
          <w:bCs/>
        </w:rPr>
        <w:t xml:space="preserve"> Retirement Income Strategic Issues Paper</w:t>
      </w:r>
      <w:r>
        <w:rPr>
          <w:rFonts w:hint="eastAsia"/>
          <w:bCs/>
        </w:rPr>
        <w:t xml:space="preserve">, </w:t>
      </w:r>
      <w:r>
        <w:t>2009,</w:t>
      </w:r>
      <w:r w:rsidRPr="00934D40">
        <w:rPr>
          <w:rFonts w:ascii="Calibri" w:hAnsi="Calibri" w:cs="Calibri"/>
          <w:kern w:val="0"/>
          <w:sz w:val="24"/>
          <w:szCs w:val="24"/>
        </w:rPr>
        <w:t xml:space="preserve"> </w:t>
      </w:r>
      <w:r w:rsidRPr="00934D40">
        <w:t>Australian Government, Canberra.</w:t>
      </w:r>
    </w:p>
    <w:p w:rsidR="00F27DE1" w:rsidRPr="00DE328D" w:rsidRDefault="00F27DE1" w:rsidP="008B46B3">
      <w:pPr>
        <w:ind w:firstLine="420"/>
        <w:rPr>
          <w:bCs/>
        </w:rPr>
      </w:pPr>
    </w:p>
    <w:p w:rsidR="008B46B3" w:rsidRDefault="008B46B3" w:rsidP="008B46B3">
      <w:pPr>
        <w:ind w:firstLine="420"/>
      </w:pPr>
      <w:r w:rsidRPr="00DE328D">
        <w:t>Annual Fund-level Superannuation Statistics June 2017</w:t>
      </w:r>
      <w:r>
        <w:t xml:space="preserve">, </w:t>
      </w:r>
      <w:r w:rsidRPr="00934D40">
        <w:t>Australian Prudential Regulation Authority</w:t>
      </w:r>
      <w:r>
        <w:t xml:space="preserve">, </w:t>
      </w:r>
      <w:r w:rsidRPr="00934D40">
        <w:t>Canberra.</w:t>
      </w:r>
    </w:p>
    <w:p w:rsidR="00F27DE1" w:rsidRPr="007C592D" w:rsidRDefault="00F27DE1" w:rsidP="008B46B3">
      <w:pPr>
        <w:ind w:firstLine="420"/>
      </w:pPr>
    </w:p>
    <w:p w:rsidR="008B46B3" w:rsidRDefault="008B46B3" w:rsidP="008B46B3">
      <w:pPr>
        <w:ind w:firstLine="420"/>
      </w:pPr>
      <w:r w:rsidRPr="00DE328D">
        <w:t>Annual Superannuation Bulletin June 2016</w:t>
      </w:r>
      <w:r>
        <w:t xml:space="preserve">, </w:t>
      </w:r>
      <w:r w:rsidRPr="00934D40">
        <w:t>Australian Prudential Regulation Authority</w:t>
      </w:r>
      <w:r>
        <w:t xml:space="preserve">, </w:t>
      </w:r>
      <w:r w:rsidRPr="00934D40">
        <w:t>Canberra.</w:t>
      </w:r>
    </w:p>
    <w:p w:rsidR="008B46B3" w:rsidRDefault="008B46B3" w:rsidP="008B46B3">
      <w:pPr>
        <w:ind w:firstLine="420"/>
      </w:pPr>
      <w:r w:rsidRPr="00DE328D">
        <w:t>Quarterly MySuper Statistics DEC 2017,</w:t>
      </w:r>
      <w:r w:rsidRPr="007C592D">
        <w:t xml:space="preserve"> </w:t>
      </w:r>
      <w:r w:rsidRPr="00934D40">
        <w:t>Australian Prudential Regulation Authority</w:t>
      </w:r>
      <w:r>
        <w:t xml:space="preserve">, </w:t>
      </w:r>
      <w:r w:rsidRPr="00934D40">
        <w:t>Canberra.</w:t>
      </w:r>
    </w:p>
    <w:p w:rsidR="008B46B3" w:rsidRDefault="008B46B3" w:rsidP="008B46B3">
      <w:pPr>
        <w:ind w:firstLine="420"/>
      </w:pPr>
      <w:r>
        <w:t>ASFA Research and Resource Centre</w:t>
      </w:r>
      <w:r>
        <w:rPr>
          <w:rFonts w:hint="eastAsia"/>
        </w:rPr>
        <w:t>, The</w:t>
      </w:r>
      <w:r>
        <w:t xml:space="preserve"> Australia superannuation industry, 2017</w:t>
      </w:r>
      <w:r>
        <w:rPr>
          <w:rFonts w:hint="eastAsia"/>
        </w:rPr>
        <w:t>,</w:t>
      </w:r>
      <w:r w:rsidRPr="006B523D">
        <w:t xml:space="preserve"> </w:t>
      </w:r>
      <w:r w:rsidRPr="00934D40">
        <w:t>Australian Prudential Regulation Authority</w:t>
      </w:r>
      <w:r>
        <w:t xml:space="preserve">, </w:t>
      </w:r>
      <w:r w:rsidRPr="00934D40">
        <w:t>Canberra.</w:t>
      </w:r>
    </w:p>
    <w:p w:rsidR="00F27DE1" w:rsidRPr="007C592D" w:rsidRDefault="00F27DE1" w:rsidP="008B46B3">
      <w:pPr>
        <w:ind w:firstLine="420"/>
      </w:pPr>
    </w:p>
    <w:p w:rsidR="008B46B3" w:rsidRDefault="008B46B3" w:rsidP="008B46B3">
      <w:pPr>
        <w:ind w:firstLine="420"/>
      </w:pPr>
      <w:r w:rsidRPr="00F258A5">
        <w:t>Self-managed superannuation funds: A statistical overview 2015-2016</w:t>
      </w:r>
      <w:r>
        <w:rPr>
          <w:rFonts w:hint="eastAsia"/>
        </w:rPr>
        <w:t>，</w:t>
      </w:r>
      <w:r w:rsidRPr="006B523D">
        <w:t>australian taxation office</w:t>
      </w:r>
      <w:r>
        <w:t>,</w:t>
      </w:r>
      <w:r w:rsidRPr="006B523D">
        <w:t xml:space="preserve"> </w:t>
      </w:r>
      <w:r w:rsidRPr="00934D40">
        <w:t>Canberra.</w:t>
      </w:r>
      <w:r>
        <w:t xml:space="preserve"> </w:t>
      </w:r>
    </w:p>
    <w:p w:rsidR="00F27DE1" w:rsidRPr="006B523D" w:rsidRDefault="00F27DE1" w:rsidP="008B46B3">
      <w:pPr>
        <w:ind w:firstLine="420"/>
      </w:pPr>
    </w:p>
    <w:p w:rsidR="008B46B3" w:rsidRDefault="008B46B3" w:rsidP="008B46B3">
      <w:pPr>
        <w:ind w:firstLine="420"/>
      </w:pPr>
      <w:r w:rsidRPr="006B523D">
        <w:t>Future Fund Board of Guardians</w:t>
      </w:r>
      <w:r>
        <w:t>, Future Fund Annual Report, 2007-17,</w:t>
      </w:r>
      <w:r w:rsidRPr="006B523D">
        <w:t xml:space="preserve"> </w:t>
      </w:r>
      <w:r w:rsidRPr="00934D40">
        <w:t>Australian Government</w:t>
      </w:r>
      <w:r>
        <w:t xml:space="preserve"> </w:t>
      </w:r>
      <w:r w:rsidRPr="006B523D">
        <w:t>Future Fund</w:t>
      </w:r>
      <w:r>
        <w:t xml:space="preserve">, </w:t>
      </w:r>
      <w:r w:rsidRPr="00934D40">
        <w:t>Canberra.</w:t>
      </w:r>
    </w:p>
    <w:p w:rsidR="00F27DE1" w:rsidRPr="007C592D" w:rsidRDefault="00F27DE1" w:rsidP="008B46B3">
      <w:pPr>
        <w:ind w:firstLine="420"/>
      </w:pPr>
    </w:p>
    <w:p w:rsidR="008B46B3" w:rsidRDefault="008B46B3" w:rsidP="008B46B3">
      <w:pPr>
        <w:ind w:firstLine="420"/>
      </w:pPr>
      <w:r>
        <w:t>Jun Feng, Paul Gerrans &amp; Gordon Clark. Understanding superannuation contribution decisions</w:t>
      </w:r>
      <w:r>
        <w:t>：</w:t>
      </w:r>
      <w:r>
        <w:t>theory and evidence. working paper, 2014</w:t>
      </w:r>
    </w:p>
    <w:p w:rsidR="00F27DE1" w:rsidRDefault="00F27DE1" w:rsidP="008B46B3">
      <w:pPr>
        <w:ind w:firstLine="420"/>
      </w:pPr>
    </w:p>
    <w:p w:rsidR="008B46B3" w:rsidRDefault="008B46B3" w:rsidP="008B46B3">
      <w:pPr>
        <w:ind w:firstLine="420"/>
      </w:pPr>
      <w:r>
        <w:rPr>
          <w:rFonts w:hint="eastAsia"/>
        </w:rPr>
        <w:t>熊军</w:t>
      </w:r>
      <w:r w:rsidR="00F27DE1">
        <w:rPr>
          <w:rFonts w:hint="eastAsia"/>
        </w:rPr>
        <w:t>：《</w:t>
      </w:r>
      <w:r>
        <w:rPr>
          <w:rFonts w:hint="eastAsia"/>
        </w:rPr>
        <w:t>养老</w:t>
      </w:r>
      <w:r>
        <w:t>基金投资管理</w:t>
      </w:r>
      <w:r>
        <w:t>.</w:t>
      </w:r>
      <w:r>
        <w:rPr>
          <w:rFonts w:hint="eastAsia"/>
        </w:rPr>
        <w:t>北京</w:t>
      </w:r>
      <w:r w:rsidR="00F27DE1">
        <w:rPr>
          <w:rFonts w:hint="eastAsia"/>
        </w:rPr>
        <w:t>》，</w:t>
      </w:r>
      <w:r>
        <w:t>经济科学出版社</w:t>
      </w:r>
      <w:r w:rsidR="00F27DE1">
        <w:rPr>
          <w:rFonts w:hint="eastAsia"/>
        </w:rPr>
        <w:t>，</w:t>
      </w:r>
      <w:r>
        <w:rPr>
          <w:rFonts w:hint="eastAsia"/>
        </w:rPr>
        <w:t>2014</w:t>
      </w:r>
    </w:p>
    <w:p w:rsidR="00F27DE1" w:rsidRPr="00F27DE1" w:rsidRDefault="00F27DE1" w:rsidP="008B46B3">
      <w:pPr>
        <w:ind w:firstLine="420"/>
      </w:pPr>
    </w:p>
    <w:p w:rsidR="008B46B3" w:rsidRDefault="008B46B3" w:rsidP="008B46B3">
      <w:pPr>
        <w:ind w:firstLine="420"/>
      </w:pPr>
      <w:r w:rsidRPr="007C592D">
        <w:rPr>
          <w:rFonts w:hint="eastAsia"/>
        </w:rPr>
        <w:t>路锦非</w:t>
      </w:r>
      <w:r w:rsidR="00F27DE1">
        <w:rPr>
          <w:rFonts w:hint="eastAsia"/>
        </w:rPr>
        <w:t>：《</w:t>
      </w:r>
      <w:r w:rsidRPr="007C592D">
        <w:rPr>
          <w:rFonts w:hint="eastAsia"/>
        </w:rPr>
        <w:t>严格准入还是审慎监管</w:t>
      </w:r>
      <w:r w:rsidRPr="007C592D">
        <w:rPr>
          <w:rFonts w:hint="eastAsia"/>
        </w:rPr>
        <w:t>:</w:t>
      </w:r>
      <w:r w:rsidRPr="007C592D">
        <w:rPr>
          <w:rFonts w:hint="eastAsia"/>
        </w:rPr>
        <w:t>中国养老金市场的监管模式选择</w:t>
      </w:r>
      <w:r w:rsidR="00F27DE1">
        <w:rPr>
          <w:rFonts w:hint="eastAsia"/>
        </w:rPr>
        <w:t>》，《</w:t>
      </w:r>
      <w:r w:rsidRPr="007C592D">
        <w:rPr>
          <w:rFonts w:hint="eastAsia"/>
        </w:rPr>
        <w:t>上海金融</w:t>
      </w:r>
      <w:r w:rsidR="00F27DE1">
        <w:rPr>
          <w:rFonts w:hint="eastAsia"/>
        </w:rPr>
        <w:t>》</w:t>
      </w:r>
      <w:r w:rsidR="00F27DE1">
        <w:rPr>
          <w:rFonts w:hint="eastAsia"/>
        </w:rPr>
        <w:t>2012</w:t>
      </w:r>
      <w:r w:rsidR="00F27DE1">
        <w:rPr>
          <w:rFonts w:hint="eastAsia"/>
        </w:rPr>
        <w:t>年第</w:t>
      </w:r>
      <w:r w:rsidR="00F27DE1">
        <w:rPr>
          <w:rFonts w:hint="eastAsia"/>
        </w:rPr>
        <w:t>1</w:t>
      </w:r>
      <w:r w:rsidR="00F27DE1">
        <w:rPr>
          <w:rFonts w:hint="eastAsia"/>
        </w:rPr>
        <w:t>期</w:t>
      </w:r>
    </w:p>
    <w:p w:rsidR="00ED2166" w:rsidRPr="008B46B3" w:rsidRDefault="00ED2166" w:rsidP="00C827CA"/>
    <w:sectPr w:rsidR="00ED2166" w:rsidRPr="008B46B3" w:rsidSect="00E85698">
      <w:footerReference w:type="default" r:id="rId16"/>
      <w:pgSz w:w="11906" w:h="16838"/>
      <w:pgMar w:top="1440" w:right="1800" w:bottom="1440" w:left="1800" w:header="851" w:footer="992" w:gutter="0"/>
      <w:pgBorders w:offsetFrom="page">
        <w:bottom w:val="single" w:sz="4" w:space="24" w:color="7F7F7F" w:themeColor="text1" w:themeTint="80"/>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38" w:rsidRDefault="00835638" w:rsidP="00B346B1">
      <w:r>
        <w:separator/>
      </w:r>
    </w:p>
  </w:endnote>
  <w:endnote w:type="continuationSeparator" w:id="0">
    <w:p w:rsidR="00835638" w:rsidRDefault="00835638" w:rsidP="00B346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87390"/>
      <w:docPartObj>
        <w:docPartGallery w:val="Page Numbers (Bottom of Page)"/>
        <w:docPartUnique/>
      </w:docPartObj>
    </w:sdtPr>
    <w:sdtContent>
      <w:sdt>
        <w:sdtPr>
          <w:id w:val="1728636285"/>
          <w:docPartObj>
            <w:docPartGallery w:val="Page Numbers (Top of Page)"/>
            <w:docPartUnique/>
          </w:docPartObj>
        </w:sdtPr>
        <w:sdtContent>
          <w:p w:rsidR="008804D1" w:rsidRDefault="008804D1">
            <w:pPr>
              <w:pStyle w:val="a7"/>
              <w:jc w:val="center"/>
            </w:pPr>
            <w:r>
              <w:rPr>
                <w:lang w:val="zh-CN"/>
              </w:rPr>
              <w:t xml:space="preserve"> </w:t>
            </w:r>
            <w:r w:rsidR="009D2541">
              <w:rPr>
                <w:b/>
                <w:bCs/>
                <w:sz w:val="24"/>
                <w:szCs w:val="24"/>
              </w:rPr>
              <w:fldChar w:fldCharType="begin"/>
            </w:r>
            <w:r>
              <w:rPr>
                <w:b/>
                <w:bCs/>
              </w:rPr>
              <w:instrText>PAGE</w:instrText>
            </w:r>
            <w:r w:rsidR="009D2541">
              <w:rPr>
                <w:b/>
                <w:bCs/>
                <w:sz w:val="24"/>
                <w:szCs w:val="24"/>
              </w:rPr>
              <w:fldChar w:fldCharType="separate"/>
            </w:r>
            <w:r w:rsidR="00E06E9D">
              <w:rPr>
                <w:b/>
                <w:bCs/>
                <w:noProof/>
              </w:rPr>
              <w:t>1</w:t>
            </w:r>
            <w:r w:rsidR="009D2541">
              <w:rPr>
                <w:b/>
                <w:bCs/>
                <w:sz w:val="24"/>
                <w:szCs w:val="24"/>
              </w:rPr>
              <w:fldChar w:fldCharType="end"/>
            </w:r>
            <w:r>
              <w:rPr>
                <w:lang w:val="zh-CN"/>
              </w:rPr>
              <w:t xml:space="preserve"> / </w:t>
            </w:r>
            <w:r w:rsidR="009D2541">
              <w:rPr>
                <w:b/>
                <w:bCs/>
                <w:sz w:val="24"/>
                <w:szCs w:val="24"/>
              </w:rPr>
              <w:fldChar w:fldCharType="begin"/>
            </w:r>
            <w:r>
              <w:rPr>
                <w:b/>
                <w:bCs/>
              </w:rPr>
              <w:instrText>NUMPAGES</w:instrText>
            </w:r>
            <w:r w:rsidR="009D2541">
              <w:rPr>
                <w:b/>
                <w:bCs/>
                <w:sz w:val="24"/>
                <w:szCs w:val="24"/>
              </w:rPr>
              <w:fldChar w:fldCharType="separate"/>
            </w:r>
            <w:r w:rsidR="00E06E9D">
              <w:rPr>
                <w:b/>
                <w:bCs/>
                <w:noProof/>
              </w:rPr>
              <w:t>19</w:t>
            </w:r>
            <w:r w:rsidR="009D2541">
              <w:rPr>
                <w:b/>
                <w:bCs/>
                <w:sz w:val="24"/>
                <w:szCs w:val="24"/>
              </w:rPr>
              <w:fldChar w:fldCharType="end"/>
            </w:r>
          </w:p>
        </w:sdtContent>
      </w:sdt>
    </w:sdtContent>
  </w:sdt>
  <w:p w:rsidR="008804D1" w:rsidRDefault="008804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38" w:rsidRDefault="00835638" w:rsidP="00B346B1">
      <w:r>
        <w:separator/>
      </w:r>
    </w:p>
  </w:footnote>
  <w:footnote w:type="continuationSeparator" w:id="0">
    <w:p w:rsidR="00835638" w:rsidRDefault="00835638" w:rsidP="00B346B1">
      <w:r>
        <w:continuationSeparator/>
      </w:r>
    </w:p>
  </w:footnote>
  <w:footnote w:id="1">
    <w:p w:rsidR="008804D1" w:rsidRDefault="008804D1" w:rsidP="007F6819">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3D0"/>
    <w:multiLevelType w:val="hybridMultilevel"/>
    <w:tmpl w:val="99028572"/>
    <w:lvl w:ilvl="0" w:tplc="20C22B5A">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470EF5"/>
    <w:multiLevelType w:val="hybridMultilevel"/>
    <w:tmpl w:val="0DC0DA10"/>
    <w:lvl w:ilvl="0" w:tplc="BFB65D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DEF0C26"/>
    <w:multiLevelType w:val="hybridMultilevel"/>
    <w:tmpl w:val="A0321518"/>
    <w:lvl w:ilvl="0" w:tplc="9392B106">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5A57"/>
    <w:rsid w:val="00000ECC"/>
    <w:rsid w:val="000063ED"/>
    <w:rsid w:val="00007CD7"/>
    <w:rsid w:val="00020ED8"/>
    <w:rsid w:val="000265BB"/>
    <w:rsid w:val="00067E98"/>
    <w:rsid w:val="00072D4B"/>
    <w:rsid w:val="00074225"/>
    <w:rsid w:val="00077ADE"/>
    <w:rsid w:val="00084072"/>
    <w:rsid w:val="00085DD4"/>
    <w:rsid w:val="00090530"/>
    <w:rsid w:val="0009529C"/>
    <w:rsid w:val="000A7611"/>
    <w:rsid w:val="000B3439"/>
    <w:rsid w:val="000C73D8"/>
    <w:rsid w:val="000D140E"/>
    <w:rsid w:val="000D536C"/>
    <w:rsid w:val="00102624"/>
    <w:rsid w:val="0010626E"/>
    <w:rsid w:val="001062A5"/>
    <w:rsid w:val="001218F3"/>
    <w:rsid w:val="00122F11"/>
    <w:rsid w:val="00156761"/>
    <w:rsid w:val="00161C70"/>
    <w:rsid w:val="001638D0"/>
    <w:rsid w:val="0016490F"/>
    <w:rsid w:val="00172015"/>
    <w:rsid w:val="0017621E"/>
    <w:rsid w:val="001861FE"/>
    <w:rsid w:val="00197F7E"/>
    <w:rsid w:val="001A668B"/>
    <w:rsid w:val="001B196C"/>
    <w:rsid w:val="001D663B"/>
    <w:rsid w:val="001E2C99"/>
    <w:rsid w:val="001F39ED"/>
    <w:rsid w:val="0024265D"/>
    <w:rsid w:val="00243F35"/>
    <w:rsid w:val="002739B1"/>
    <w:rsid w:val="00275A57"/>
    <w:rsid w:val="002C55B1"/>
    <w:rsid w:val="002D10A2"/>
    <w:rsid w:val="002D7C5A"/>
    <w:rsid w:val="002E0E8E"/>
    <w:rsid w:val="002E21F2"/>
    <w:rsid w:val="002E220B"/>
    <w:rsid w:val="002E4B97"/>
    <w:rsid w:val="002E6012"/>
    <w:rsid w:val="002F629E"/>
    <w:rsid w:val="002F6453"/>
    <w:rsid w:val="00303D30"/>
    <w:rsid w:val="00304198"/>
    <w:rsid w:val="00311685"/>
    <w:rsid w:val="00316872"/>
    <w:rsid w:val="00317F13"/>
    <w:rsid w:val="0032034F"/>
    <w:rsid w:val="0032066A"/>
    <w:rsid w:val="00324DB7"/>
    <w:rsid w:val="00325EFF"/>
    <w:rsid w:val="003311CE"/>
    <w:rsid w:val="00332E27"/>
    <w:rsid w:val="00335A54"/>
    <w:rsid w:val="003502FE"/>
    <w:rsid w:val="00350E40"/>
    <w:rsid w:val="0035189F"/>
    <w:rsid w:val="003526C2"/>
    <w:rsid w:val="003559DA"/>
    <w:rsid w:val="00356A63"/>
    <w:rsid w:val="003619F9"/>
    <w:rsid w:val="0036424F"/>
    <w:rsid w:val="00366B2B"/>
    <w:rsid w:val="003824D6"/>
    <w:rsid w:val="00396083"/>
    <w:rsid w:val="003A4ADE"/>
    <w:rsid w:val="003B097E"/>
    <w:rsid w:val="003B30C8"/>
    <w:rsid w:val="003C59EA"/>
    <w:rsid w:val="003D203F"/>
    <w:rsid w:val="003D632D"/>
    <w:rsid w:val="003E00B0"/>
    <w:rsid w:val="003E1CDA"/>
    <w:rsid w:val="003E3AA4"/>
    <w:rsid w:val="004002FA"/>
    <w:rsid w:val="004220DA"/>
    <w:rsid w:val="00423EA4"/>
    <w:rsid w:val="00457348"/>
    <w:rsid w:val="00461283"/>
    <w:rsid w:val="00486D37"/>
    <w:rsid w:val="00492670"/>
    <w:rsid w:val="004A1B0B"/>
    <w:rsid w:val="004A210D"/>
    <w:rsid w:val="004A41E8"/>
    <w:rsid w:val="004B1783"/>
    <w:rsid w:val="004B5BAC"/>
    <w:rsid w:val="004C3D70"/>
    <w:rsid w:val="004E07DF"/>
    <w:rsid w:val="004E6607"/>
    <w:rsid w:val="004E7870"/>
    <w:rsid w:val="00503E6F"/>
    <w:rsid w:val="005178F9"/>
    <w:rsid w:val="005201C4"/>
    <w:rsid w:val="00544309"/>
    <w:rsid w:val="00545057"/>
    <w:rsid w:val="005518BA"/>
    <w:rsid w:val="00575359"/>
    <w:rsid w:val="00576301"/>
    <w:rsid w:val="0058718B"/>
    <w:rsid w:val="00597684"/>
    <w:rsid w:val="005A28AD"/>
    <w:rsid w:val="005B5276"/>
    <w:rsid w:val="005B6B5F"/>
    <w:rsid w:val="005C27BF"/>
    <w:rsid w:val="005C2DE3"/>
    <w:rsid w:val="005C4225"/>
    <w:rsid w:val="005C4310"/>
    <w:rsid w:val="005C7F93"/>
    <w:rsid w:val="005D4E2E"/>
    <w:rsid w:val="005E025D"/>
    <w:rsid w:val="005E10BF"/>
    <w:rsid w:val="005E3201"/>
    <w:rsid w:val="005F1037"/>
    <w:rsid w:val="00604DAC"/>
    <w:rsid w:val="006051B3"/>
    <w:rsid w:val="0060655A"/>
    <w:rsid w:val="00610A6A"/>
    <w:rsid w:val="00631273"/>
    <w:rsid w:val="006339C9"/>
    <w:rsid w:val="006558FA"/>
    <w:rsid w:val="00660444"/>
    <w:rsid w:val="0066243C"/>
    <w:rsid w:val="006A7805"/>
    <w:rsid w:val="006B0059"/>
    <w:rsid w:val="006B2EB8"/>
    <w:rsid w:val="006C4ED4"/>
    <w:rsid w:val="006D69A0"/>
    <w:rsid w:val="006E0377"/>
    <w:rsid w:val="006E2BF4"/>
    <w:rsid w:val="006F5050"/>
    <w:rsid w:val="006F6E0E"/>
    <w:rsid w:val="007052C3"/>
    <w:rsid w:val="00706284"/>
    <w:rsid w:val="00707803"/>
    <w:rsid w:val="00716A49"/>
    <w:rsid w:val="00717CD0"/>
    <w:rsid w:val="0072040D"/>
    <w:rsid w:val="00723B14"/>
    <w:rsid w:val="00725152"/>
    <w:rsid w:val="00727EEC"/>
    <w:rsid w:val="00730B8B"/>
    <w:rsid w:val="007501FF"/>
    <w:rsid w:val="007560F9"/>
    <w:rsid w:val="0075771E"/>
    <w:rsid w:val="0076711A"/>
    <w:rsid w:val="007728DD"/>
    <w:rsid w:val="00781D47"/>
    <w:rsid w:val="007A18E7"/>
    <w:rsid w:val="007B118D"/>
    <w:rsid w:val="007B3177"/>
    <w:rsid w:val="007B76EE"/>
    <w:rsid w:val="007E282D"/>
    <w:rsid w:val="007F6819"/>
    <w:rsid w:val="00812A1D"/>
    <w:rsid w:val="00825233"/>
    <w:rsid w:val="00835638"/>
    <w:rsid w:val="0085261A"/>
    <w:rsid w:val="00867976"/>
    <w:rsid w:val="008804D1"/>
    <w:rsid w:val="00882E75"/>
    <w:rsid w:val="008B46B3"/>
    <w:rsid w:val="008C4DF9"/>
    <w:rsid w:val="008C58C6"/>
    <w:rsid w:val="008C675E"/>
    <w:rsid w:val="008D2D7E"/>
    <w:rsid w:val="008E6DBF"/>
    <w:rsid w:val="008F5D31"/>
    <w:rsid w:val="008F6EB6"/>
    <w:rsid w:val="00913CD6"/>
    <w:rsid w:val="00922F04"/>
    <w:rsid w:val="00923FAD"/>
    <w:rsid w:val="00926D15"/>
    <w:rsid w:val="00927D92"/>
    <w:rsid w:val="00933F29"/>
    <w:rsid w:val="00945759"/>
    <w:rsid w:val="00950C7B"/>
    <w:rsid w:val="00960848"/>
    <w:rsid w:val="0096348F"/>
    <w:rsid w:val="00973796"/>
    <w:rsid w:val="0099273F"/>
    <w:rsid w:val="009A1EC4"/>
    <w:rsid w:val="009C13AE"/>
    <w:rsid w:val="009C5B10"/>
    <w:rsid w:val="009C6715"/>
    <w:rsid w:val="009D0AF3"/>
    <w:rsid w:val="009D24A9"/>
    <w:rsid w:val="009D2541"/>
    <w:rsid w:val="009E09AE"/>
    <w:rsid w:val="00A00D0E"/>
    <w:rsid w:val="00A05BE5"/>
    <w:rsid w:val="00A07C21"/>
    <w:rsid w:val="00A147E5"/>
    <w:rsid w:val="00A3596D"/>
    <w:rsid w:val="00A40CB0"/>
    <w:rsid w:val="00A53799"/>
    <w:rsid w:val="00A55A78"/>
    <w:rsid w:val="00A573BE"/>
    <w:rsid w:val="00A617A2"/>
    <w:rsid w:val="00A61D5E"/>
    <w:rsid w:val="00A65C70"/>
    <w:rsid w:val="00A728BD"/>
    <w:rsid w:val="00A72FC7"/>
    <w:rsid w:val="00A745D7"/>
    <w:rsid w:val="00AA690E"/>
    <w:rsid w:val="00AD191E"/>
    <w:rsid w:val="00AD305A"/>
    <w:rsid w:val="00AF17B1"/>
    <w:rsid w:val="00AF6854"/>
    <w:rsid w:val="00B047E2"/>
    <w:rsid w:val="00B06284"/>
    <w:rsid w:val="00B06BE2"/>
    <w:rsid w:val="00B164A5"/>
    <w:rsid w:val="00B26019"/>
    <w:rsid w:val="00B346B1"/>
    <w:rsid w:val="00B43252"/>
    <w:rsid w:val="00B50C42"/>
    <w:rsid w:val="00B56942"/>
    <w:rsid w:val="00B77425"/>
    <w:rsid w:val="00B86EB2"/>
    <w:rsid w:val="00B87709"/>
    <w:rsid w:val="00B87AFA"/>
    <w:rsid w:val="00B94F24"/>
    <w:rsid w:val="00BA1622"/>
    <w:rsid w:val="00BA3136"/>
    <w:rsid w:val="00BB32A0"/>
    <w:rsid w:val="00BD1A9A"/>
    <w:rsid w:val="00BE274F"/>
    <w:rsid w:val="00BE3A04"/>
    <w:rsid w:val="00BE4E8F"/>
    <w:rsid w:val="00BF3BEC"/>
    <w:rsid w:val="00BF5A30"/>
    <w:rsid w:val="00C01927"/>
    <w:rsid w:val="00C10EE2"/>
    <w:rsid w:val="00C121C8"/>
    <w:rsid w:val="00C2403A"/>
    <w:rsid w:val="00C259A6"/>
    <w:rsid w:val="00C33A4D"/>
    <w:rsid w:val="00C40907"/>
    <w:rsid w:val="00C4165E"/>
    <w:rsid w:val="00C51BC2"/>
    <w:rsid w:val="00C554D8"/>
    <w:rsid w:val="00C6643A"/>
    <w:rsid w:val="00C8013F"/>
    <w:rsid w:val="00C81C52"/>
    <w:rsid w:val="00C827CA"/>
    <w:rsid w:val="00C86AD4"/>
    <w:rsid w:val="00C929B6"/>
    <w:rsid w:val="00CB54AA"/>
    <w:rsid w:val="00CE65B3"/>
    <w:rsid w:val="00D25A6A"/>
    <w:rsid w:val="00D46CBF"/>
    <w:rsid w:val="00D523E6"/>
    <w:rsid w:val="00D561F3"/>
    <w:rsid w:val="00D5791A"/>
    <w:rsid w:val="00D60854"/>
    <w:rsid w:val="00D65F2B"/>
    <w:rsid w:val="00D81ED7"/>
    <w:rsid w:val="00D90B64"/>
    <w:rsid w:val="00D91672"/>
    <w:rsid w:val="00D95D56"/>
    <w:rsid w:val="00D965D5"/>
    <w:rsid w:val="00DB1FBA"/>
    <w:rsid w:val="00DB6548"/>
    <w:rsid w:val="00DC243E"/>
    <w:rsid w:val="00DC7A3F"/>
    <w:rsid w:val="00DD14A8"/>
    <w:rsid w:val="00DD6695"/>
    <w:rsid w:val="00DD79C8"/>
    <w:rsid w:val="00DE021D"/>
    <w:rsid w:val="00DE56F7"/>
    <w:rsid w:val="00E052C9"/>
    <w:rsid w:val="00E06E9D"/>
    <w:rsid w:val="00E14223"/>
    <w:rsid w:val="00E17B6B"/>
    <w:rsid w:val="00E21328"/>
    <w:rsid w:val="00E22923"/>
    <w:rsid w:val="00E232EA"/>
    <w:rsid w:val="00E408D2"/>
    <w:rsid w:val="00E40AEF"/>
    <w:rsid w:val="00E52C00"/>
    <w:rsid w:val="00E56634"/>
    <w:rsid w:val="00E647CE"/>
    <w:rsid w:val="00E74537"/>
    <w:rsid w:val="00E8167C"/>
    <w:rsid w:val="00E85698"/>
    <w:rsid w:val="00E87FC8"/>
    <w:rsid w:val="00E90179"/>
    <w:rsid w:val="00E95371"/>
    <w:rsid w:val="00E9642C"/>
    <w:rsid w:val="00EA7A81"/>
    <w:rsid w:val="00EB58E7"/>
    <w:rsid w:val="00EC020B"/>
    <w:rsid w:val="00ED2166"/>
    <w:rsid w:val="00F01536"/>
    <w:rsid w:val="00F07B41"/>
    <w:rsid w:val="00F130F5"/>
    <w:rsid w:val="00F258A5"/>
    <w:rsid w:val="00F26F56"/>
    <w:rsid w:val="00F27DE1"/>
    <w:rsid w:val="00F34014"/>
    <w:rsid w:val="00F358EA"/>
    <w:rsid w:val="00F36412"/>
    <w:rsid w:val="00F80457"/>
    <w:rsid w:val="00F84AE5"/>
    <w:rsid w:val="00F93D84"/>
    <w:rsid w:val="00F954C6"/>
    <w:rsid w:val="00F96C73"/>
    <w:rsid w:val="00FA7AA2"/>
    <w:rsid w:val="00FB7933"/>
    <w:rsid w:val="00FC16E9"/>
    <w:rsid w:val="00FC3FF6"/>
    <w:rsid w:val="00FD0D70"/>
    <w:rsid w:val="00FD2679"/>
    <w:rsid w:val="00FD38D8"/>
    <w:rsid w:val="00FD4267"/>
    <w:rsid w:val="00FE1FBD"/>
    <w:rsid w:val="00FE2DD3"/>
    <w:rsid w:val="00FE63F3"/>
    <w:rsid w:val="00FF7B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AE"/>
    <w:pPr>
      <w:widowControl w:val="0"/>
      <w:jc w:val="both"/>
    </w:pPr>
  </w:style>
  <w:style w:type="paragraph" w:styleId="1">
    <w:name w:val="heading 1"/>
    <w:basedOn w:val="a"/>
    <w:next w:val="a"/>
    <w:link w:val="1Char"/>
    <w:uiPriority w:val="9"/>
    <w:qFormat/>
    <w:rsid w:val="00B346B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346B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346B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6B1"/>
    <w:pPr>
      <w:ind w:firstLineChars="200" w:firstLine="420"/>
    </w:pPr>
  </w:style>
  <w:style w:type="paragraph" w:styleId="a4">
    <w:name w:val="footnote text"/>
    <w:basedOn w:val="a"/>
    <w:link w:val="Char"/>
    <w:uiPriority w:val="99"/>
    <w:unhideWhenUsed/>
    <w:rsid w:val="00B346B1"/>
    <w:pPr>
      <w:snapToGrid w:val="0"/>
      <w:jc w:val="left"/>
    </w:pPr>
    <w:rPr>
      <w:sz w:val="18"/>
      <w:szCs w:val="18"/>
    </w:rPr>
  </w:style>
  <w:style w:type="character" w:customStyle="1" w:styleId="Char">
    <w:name w:val="脚注文本 Char"/>
    <w:basedOn w:val="a0"/>
    <w:link w:val="a4"/>
    <w:uiPriority w:val="99"/>
    <w:rsid w:val="00B346B1"/>
    <w:rPr>
      <w:sz w:val="18"/>
      <w:szCs w:val="18"/>
    </w:rPr>
  </w:style>
  <w:style w:type="character" w:styleId="a5">
    <w:name w:val="footnote reference"/>
    <w:basedOn w:val="a0"/>
    <w:uiPriority w:val="99"/>
    <w:semiHidden/>
    <w:unhideWhenUsed/>
    <w:rsid w:val="00B346B1"/>
    <w:rPr>
      <w:vertAlign w:val="superscript"/>
    </w:rPr>
  </w:style>
  <w:style w:type="paragraph" w:styleId="a6">
    <w:name w:val="header"/>
    <w:basedOn w:val="a"/>
    <w:link w:val="Char0"/>
    <w:uiPriority w:val="99"/>
    <w:unhideWhenUsed/>
    <w:rsid w:val="00B346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346B1"/>
    <w:rPr>
      <w:sz w:val="18"/>
      <w:szCs w:val="18"/>
    </w:rPr>
  </w:style>
  <w:style w:type="paragraph" w:styleId="a7">
    <w:name w:val="footer"/>
    <w:basedOn w:val="a"/>
    <w:link w:val="Char1"/>
    <w:uiPriority w:val="99"/>
    <w:unhideWhenUsed/>
    <w:rsid w:val="00B346B1"/>
    <w:pPr>
      <w:tabs>
        <w:tab w:val="center" w:pos="4153"/>
        <w:tab w:val="right" w:pos="8306"/>
      </w:tabs>
      <w:snapToGrid w:val="0"/>
      <w:jc w:val="left"/>
    </w:pPr>
    <w:rPr>
      <w:sz w:val="18"/>
      <w:szCs w:val="18"/>
    </w:rPr>
  </w:style>
  <w:style w:type="character" w:customStyle="1" w:styleId="Char1">
    <w:name w:val="页脚 Char"/>
    <w:basedOn w:val="a0"/>
    <w:link w:val="a7"/>
    <w:uiPriority w:val="99"/>
    <w:rsid w:val="00B346B1"/>
    <w:rPr>
      <w:sz w:val="18"/>
      <w:szCs w:val="18"/>
    </w:rPr>
  </w:style>
  <w:style w:type="table" w:customStyle="1" w:styleId="31">
    <w:name w:val="无格式表格 31"/>
    <w:basedOn w:val="a1"/>
    <w:uiPriority w:val="43"/>
    <w:rsid w:val="00B346B1"/>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8">
    <w:name w:val="annotation reference"/>
    <w:basedOn w:val="a0"/>
    <w:uiPriority w:val="99"/>
    <w:semiHidden/>
    <w:unhideWhenUsed/>
    <w:rsid w:val="00B346B1"/>
    <w:rPr>
      <w:sz w:val="21"/>
      <w:szCs w:val="21"/>
    </w:rPr>
  </w:style>
  <w:style w:type="paragraph" w:styleId="a9">
    <w:name w:val="annotation text"/>
    <w:basedOn w:val="a"/>
    <w:link w:val="Char2"/>
    <w:uiPriority w:val="99"/>
    <w:unhideWhenUsed/>
    <w:rsid w:val="00B346B1"/>
    <w:pPr>
      <w:jc w:val="left"/>
    </w:pPr>
  </w:style>
  <w:style w:type="character" w:customStyle="1" w:styleId="Char2">
    <w:name w:val="批注文字 Char"/>
    <w:basedOn w:val="a0"/>
    <w:link w:val="a9"/>
    <w:uiPriority w:val="99"/>
    <w:rsid w:val="00B346B1"/>
  </w:style>
  <w:style w:type="paragraph" w:styleId="aa">
    <w:name w:val="annotation subject"/>
    <w:basedOn w:val="a9"/>
    <w:next w:val="a9"/>
    <w:link w:val="Char3"/>
    <w:uiPriority w:val="99"/>
    <w:semiHidden/>
    <w:unhideWhenUsed/>
    <w:rsid w:val="00B346B1"/>
    <w:rPr>
      <w:b/>
      <w:bCs/>
    </w:rPr>
  </w:style>
  <w:style w:type="character" w:customStyle="1" w:styleId="Char3">
    <w:name w:val="批注主题 Char"/>
    <w:basedOn w:val="Char2"/>
    <w:link w:val="aa"/>
    <w:uiPriority w:val="99"/>
    <w:semiHidden/>
    <w:rsid w:val="00B346B1"/>
    <w:rPr>
      <w:b/>
      <w:bCs/>
    </w:rPr>
  </w:style>
  <w:style w:type="paragraph" w:styleId="ab">
    <w:name w:val="Balloon Text"/>
    <w:basedOn w:val="a"/>
    <w:link w:val="Char4"/>
    <w:uiPriority w:val="99"/>
    <w:semiHidden/>
    <w:unhideWhenUsed/>
    <w:rsid w:val="00B346B1"/>
    <w:rPr>
      <w:sz w:val="18"/>
      <w:szCs w:val="18"/>
    </w:rPr>
  </w:style>
  <w:style w:type="character" w:customStyle="1" w:styleId="Char4">
    <w:name w:val="批注框文本 Char"/>
    <w:basedOn w:val="a0"/>
    <w:link w:val="ab"/>
    <w:uiPriority w:val="99"/>
    <w:semiHidden/>
    <w:rsid w:val="00B346B1"/>
    <w:rPr>
      <w:sz w:val="18"/>
      <w:szCs w:val="18"/>
    </w:rPr>
  </w:style>
  <w:style w:type="table" w:styleId="ac">
    <w:name w:val="Table Grid"/>
    <w:basedOn w:val="a1"/>
    <w:uiPriority w:val="39"/>
    <w:rsid w:val="00B34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B346B1"/>
    <w:rPr>
      <w:b/>
      <w:bCs/>
      <w:kern w:val="44"/>
      <w:sz w:val="44"/>
      <w:szCs w:val="44"/>
    </w:rPr>
  </w:style>
  <w:style w:type="character" w:customStyle="1" w:styleId="2Char">
    <w:name w:val="标题 2 Char"/>
    <w:basedOn w:val="a0"/>
    <w:link w:val="2"/>
    <w:uiPriority w:val="9"/>
    <w:rsid w:val="00B346B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346B1"/>
    <w:rPr>
      <w:b/>
      <w:bCs/>
      <w:sz w:val="32"/>
      <w:szCs w:val="32"/>
    </w:rPr>
  </w:style>
  <w:style w:type="paragraph" w:styleId="ad">
    <w:name w:val="No Spacing"/>
    <w:uiPriority w:val="1"/>
    <w:qFormat/>
    <w:rsid w:val="00B346B1"/>
    <w:pPr>
      <w:widowControl w:val="0"/>
      <w:jc w:val="both"/>
    </w:pPr>
  </w:style>
  <w:style w:type="character" w:styleId="ae">
    <w:name w:val="Hyperlink"/>
    <w:basedOn w:val="a0"/>
    <w:uiPriority w:val="99"/>
    <w:unhideWhenUsed/>
    <w:rsid w:val="00D46CBF"/>
    <w:rPr>
      <w:color w:val="0563C1" w:themeColor="hyperlink"/>
      <w:u w:val="single"/>
    </w:rPr>
  </w:style>
  <w:style w:type="paragraph" w:styleId="af">
    <w:name w:val="caption"/>
    <w:basedOn w:val="a"/>
    <w:next w:val="a"/>
    <w:uiPriority w:val="35"/>
    <w:unhideWhenUsed/>
    <w:qFormat/>
    <w:rsid w:val="007B118D"/>
    <w:rPr>
      <w:rFonts w:asciiTheme="majorHAnsi" w:eastAsia="黑体" w:hAnsiTheme="majorHAnsi" w:cstheme="majorBidi"/>
      <w:sz w:val="20"/>
      <w:szCs w:val="20"/>
    </w:rPr>
  </w:style>
  <w:style w:type="paragraph" w:styleId="af0">
    <w:name w:val="Revision"/>
    <w:hidden/>
    <w:uiPriority w:val="99"/>
    <w:semiHidden/>
    <w:rsid w:val="004B5BAC"/>
  </w:style>
</w:styles>
</file>

<file path=word/webSettings.xml><?xml version="1.0" encoding="utf-8"?>
<w:webSettings xmlns:r="http://schemas.openxmlformats.org/officeDocument/2006/relationships" xmlns:w="http://schemas.openxmlformats.org/wordprocessingml/2006/main">
  <w:divs>
    <w:div w:id="30810646">
      <w:bodyDiv w:val="1"/>
      <w:marLeft w:val="0"/>
      <w:marRight w:val="0"/>
      <w:marTop w:val="0"/>
      <w:marBottom w:val="0"/>
      <w:divBdr>
        <w:top w:val="none" w:sz="0" w:space="0" w:color="auto"/>
        <w:left w:val="none" w:sz="0" w:space="0" w:color="auto"/>
        <w:bottom w:val="none" w:sz="0" w:space="0" w:color="auto"/>
        <w:right w:val="none" w:sz="0" w:space="0" w:color="auto"/>
      </w:divBdr>
    </w:div>
    <w:div w:id="102040663">
      <w:bodyDiv w:val="1"/>
      <w:marLeft w:val="0"/>
      <w:marRight w:val="0"/>
      <w:marTop w:val="0"/>
      <w:marBottom w:val="0"/>
      <w:divBdr>
        <w:top w:val="none" w:sz="0" w:space="0" w:color="auto"/>
        <w:left w:val="none" w:sz="0" w:space="0" w:color="auto"/>
        <w:bottom w:val="none" w:sz="0" w:space="0" w:color="auto"/>
        <w:right w:val="none" w:sz="0" w:space="0" w:color="auto"/>
      </w:divBdr>
    </w:div>
    <w:div w:id="632753849">
      <w:bodyDiv w:val="1"/>
      <w:marLeft w:val="0"/>
      <w:marRight w:val="0"/>
      <w:marTop w:val="0"/>
      <w:marBottom w:val="0"/>
      <w:divBdr>
        <w:top w:val="none" w:sz="0" w:space="0" w:color="auto"/>
        <w:left w:val="none" w:sz="0" w:space="0" w:color="auto"/>
        <w:bottom w:val="none" w:sz="0" w:space="0" w:color="auto"/>
        <w:right w:val="none" w:sz="0" w:space="0" w:color="auto"/>
      </w:divBdr>
    </w:div>
    <w:div w:id="713695470">
      <w:bodyDiv w:val="1"/>
      <w:marLeft w:val="0"/>
      <w:marRight w:val="0"/>
      <w:marTop w:val="0"/>
      <w:marBottom w:val="0"/>
      <w:divBdr>
        <w:top w:val="none" w:sz="0" w:space="0" w:color="auto"/>
        <w:left w:val="none" w:sz="0" w:space="0" w:color="auto"/>
        <w:bottom w:val="none" w:sz="0" w:space="0" w:color="auto"/>
        <w:right w:val="none" w:sz="0" w:space="0" w:color="auto"/>
      </w:divBdr>
    </w:div>
    <w:div w:id="1394423581">
      <w:bodyDiv w:val="1"/>
      <w:marLeft w:val="0"/>
      <w:marRight w:val="0"/>
      <w:marTop w:val="0"/>
      <w:marBottom w:val="0"/>
      <w:divBdr>
        <w:top w:val="none" w:sz="0" w:space="0" w:color="auto"/>
        <w:left w:val="none" w:sz="0" w:space="0" w:color="auto"/>
        <w:bottom w:val="none" w:sz="0" w:space="0" w:color="auto"/>
        <w:right w:val="none" w:sz="0" w:space="0" w:color="auto"/>
      </w:divBdr>
    </w:div>
    <w:div w:id="17284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超级年金规模与占</a:t>
            </a:r>
            <a:r>
              <a:rPr lang="en-US" altLang="zh-CN"/>
              <a:t>GDP</a:t>
            </a:r>
            <a:r>
              <a:rPr lang="zh-CN" altLang="en-US"/>
              <a:t>比重</a:t>
            </a:r>
          </a:p>
        </c:rich>
      </c:tx>
      <c:spPr>
        <a:noFill/>
        <a:ln>
          <a:noFill/>
        </a:ln>
        <a:effectLst/>
      </c:spPr>
    </c:title>
    <c:plotArea>
      <c:layout/>
      <c:barChart>
        <c:barDir val="col"/>
        <c:grouping val="clustered"/>
        <c:ser>
          <c:idx val="0"/>
          <c:order val="0"/>
          <c:tx>
            <c:strRef>
              <c:f>Sheet1!$A$2</c:f>
              <c:strCache>
                <c:ptCount val="1"/>
                <c:pt idx="0">
                  <c:v>超级年金规模</c:v>
                </c:pt>
              </c:strCache>
            </c:strRef>
          </c:tx>
          <c:spPr>
            <a:solidFill>
              <a:schemeClr val="accent1"/>
            </a:solidFill>
            <a:ln>
              <a:noFill/>
            </a:ln>
            <a:effectLst/>
          </c:spP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Sheet1!$B$2:$N$2</c:f>
              <c:numCache>
                <c:formatCode>General</c:formatCode>
                <c:ptCount val="13"/>
                <c:pt idx="0">
                  <c:v>613.9</c:v>
                </c:pt>
                <c:pt idx="1">
                  <c:v>750.5</c:v>
                </c:pt>
                <c:pt idx="2">
                  <c:v>904.4</c:v>
                </c:pt>
                <c:pt idx="3">
                  <c:v>1172.9000000000001</c:v>
                </c:pt>
                <c:pt idx="4">
                  <c:v>1131.4000000000001</c:v>
                </c:pt>
                <c:pt idx="5">
                  <c:v>1059.9000000000001</c:v>
                </c:pt>
                <c:pt idx="6">
                  <c:v>1188.4000000000001</c:v>
                </c:pt>
                <c:pt idx="7">
                  <c:v>1329.4</c:v>
                </c:pt>
                <c:pt idx="8">
                  <c:v>1382.9</c:v>
                </c:pt>
                <c:pt idx="9">
                  <c:v>1585.2</c:v>
                </c:pt>
                <c:pt idx="10">
                  <c:v>1816.5</c:v>
                </c:pt>
                <c:pt idx="11">
                  <c:v>2027.8</c:v>
                </c:pt>
                <c:pt idx="12">
                  <c:v>2099.5</c:v>
                </c:pt>
              </c:numCache>
            </c:numRef>
          </c:val>
          <c:extLst xmlns:c16r2="http://schemas.microsoft.com/office/drawing/2015/06/chart">
            <c:ext xmlns:c16="http://schemas.microsoft.com/office/drawing/2014/chart" uri="{C3380CC4-5D6E-409C-BE32-E72D297353CC}">
              <c16:uniqueId val="{00000000-301B-4905-B8E5-8A026025CAAC}"/>
            </c:ext>
          </c:extLst>
        </c:ser>
        <c:gapWidth val="219"/>
        <c:axId val="125954304"/>
        <c:axId val="125964288"/>
      </c:barChart>
      <c:lineChart>
        <c:grouping val="standard"/>
        <c:ser>
          <c:idx val="1"/>
          <c:order val="1"/>
          <c:tx>
            <c:strRef>
              <c:f>Sheet1!$A$3</c:f>
              <c:strCache>
                <c:ptCount val="1"/>
                <c:pt idx="0">
                  <c:v>与GDP规模比</c:v>
                </c:pt>
              </c:strCache>
            </c:strRef>
          </c:tx>
          <c:spPr>
            <a:ln w="28575" cap="rnd">
              <a:solidFill>
                <a:schemeClr val="accent2"/>
              </a:solidFill>
              <a:round/>
            </a:ln>
            <a:effectLst/>
          </c:spPr>
          <c:marker>
            <c:symbol val="none"/>
          </c:marke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Sheet1!$B$3:$N$3</c:f>
              <c:numCache>
                <c:formatCode>0.00%</c:formatCode>
                <c:ptCount val="13"/>
                <c:pt idx="0">
                  <c:v>0.71200000000000063</c:v>
                </c:pt>
                <c:pt idx="1">
                  <c:v>0.81299999999999994</c:v>
                </c:pt>
                <c:pt idx="2">
                  <c:v>0.90600000000000003</c:v>
                </c:pt>
                <c:pt idx="3">
                  <c:v>1.079</c:v>
                </c:pt>
                <c:pt idx="4">
                  <c:v>0.96000000000000063</c:v>
                </c:pt>
                <c:pt idx="5">
                  <c:v>0.84200000000000064</c:v>
                </c:pt>
                <c:pt idx="6">
                  <c:v>0.91600000000000004</c:v>
                </c:pt>
                <c:pt idx="7">
                  <c:v>0.94299999999999995</c:v>
                </c:pt>
                <c:pt idx="8">
                  <c:v>0.92700000000000005</c:v>
                </c:pt>
                <c:pt idx="9">
                  <c:v>1.038</c:v>
                </c:pt>
                <c:pt idx="10">
                  <c:v>1.141999999999997</c:v>
                </c:pt>
                <c:pt idx="11">
                  <c:v>1.254</c:v>
                </c:pt>
                <c:pt idx="12">
                  <c:v>1.268999999999997</c:v>
                </c:pt>
              </c:numCache>
            </c:numRef>
          </c:val>
          <c:extLst xmlns:c16r2="http://schemas.microsoft.com/office/drawing/2015/06/chart">
            <c:ext xmlns:c16="http://schemas.microsoft.com/office/drawing/2014/chart" uri="{C3380CC4-5D6E-409C-BE32-E72D297353CC}">
              <c16:uniqueId val="{00000001-301B-4905-B8E5-8A026025CAAC}"/>
            </c:ext>
          </c:extLst>
        </c:ser>
        <c:marker val="1"/>
        <c:axId val="125967360"/>
        <c:axId val="125965824"/>
      </c:lineChart>
      <c:catAx>
        <c:axId val="1259543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964288"/>
        <c:crosses val="autoZero"/>
        <c:auto val="1"/>
        <c:lblAlgn val="ctr"/>
        <c:lblOffset val="100"/>
      </c:catAx>
      <c:valAx>
        <c:axId val="1259642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954304"/>
        <c:crosses val="autoZero"/>
        <c:crossBetween val="between"/>
      </c:valAx>
      <c:valAx>
        <c:axId val="125965824"/>
        <c:scaling>
          <c:orientation val="minMax"/>
        </c:scaling>
        <c:axPos val="r"/>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967360"/>
        <c:crosses val="max"/>
        <c:crossBetween val="between"/>
      </c:valAx>
      <c:catAx>
        <c:axId val="125967360"/>
        <c:scaling>
          <c:orientation val="minMax"/>
        </c:scaling>
        <c:delete val="1"/>
        <c:axPos val="b"/>
        <c:numFmt formatCode="General" sourceLinked="1"/>
        <c:tickLblPos val="none"/>
        <c:crossAx val="125965824"/>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Sheet1!$A$2</c:f>
              <c:strCache>
                <c:ptCount val="1"/>
                <c:pt idx="0">
                  <c:v>公司基金</c:v>
                </c:pt>
              </c:strCache>
            </c:strRef>
          </c:tx>
          <c:spPr>
            <a:ln w="28575" cap="rnd">
              <a:solidFill>
                <a:schemeClr val="accent1"/>
              </a:solidFill>
              <a:round/>
            </a:ln>
            <a:effectLst/>
          </c:spPr>
          <c:marker>
            <c:symbol val="none"/>
          </c:marke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Sheet1!$B$2:$N$2</c:f>
              <c:numCache>
                <c:formatCode>General</c:formatCode>
                <c:ptCount val="13"/>
                <c:pt idx="0">
                  <c:v>1089</c:v>
                </c:pt>
                <c:pt idx="1">
                  <c:v>695</c:v>
                </c:pt>
                <c:pt idx="2">
                  <c:v>295</c:v>
                </c:pt>
                <c:pt idx="3">
                  <c:v>214</c:v>
                </c:pt>
                <c:pt idx="4">
                  <c:v>143</c:v>
                </c:pt>
                <c:pt idx="5">
                  <c:v>106</c:v>
                </c:pt>
                <c:pt idx="6">
                  <c:v>85</c:v>
                </c:pt>
                <c:pt idx="7">
                  <c:v>71</c:v>
                </c:pt>
                <c:pt idx="8">
                  <c:v>64</c:v>
                </c:pt>
                <c:pt idx="9">
                  <c:v>50</c:v>
                </c:pt>
                <c:pt idx="10">
                  <c:v>42</c:v>
                </c:pt>
                <c:pt idx="11">
                  <c:v>34</c:v>
                </c:pt>
                <c:pt idx="12">
                  <c:v>30</c:v>
                </c:pt>
              </c:numCache>
            </c:numRef>
          </c:val>
          <c:extLst xmlns:c16r2="http://schemas.microsoft.com/office/drawing/2015/06/chart">
            <c:ext xmlns:c16="http://schemas.microsoft.com/office/drawing/2014/chart" uri="{C3380CC4-5D6E-409C-BE32-E72D297353CC}">
              <c16:uniqueId val="{00000000-7809-48FC-A215-2A0E5A41D3E2}"/>
            </c:ext>
          </c:extLst>
        </c:ser>
        <c:ser>
          <c:idx val="1"/>
          <c:order val="1"/>
          <c:tx>
            <c:strRef>
              <c:f>Sheet1!$A$3</c:f>
              <c:strCache>
                <c:ptCount val="1"/>
                <c:pt idx="0">
                  <c:v>行业基金</c:v>
                </c:pt>
              </c:strCache>
            </c:strRef>
          </c:tx>
          <c:spPr>
            <a:ln w="28575" cap="rnd">
              <a:solidFill>
                <a:schemeClr val="accent2"/>
              </a:solidFill>
              <a:round/>
            </a:ln>
            <a:effectLst/>
          </c:spPr>
          <c:marker>
            <c:symbol val="none"/>
          </c:marke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Sheet1!$B$3:$N$3</c:f>
              <c:numCache>
                <c:formatCode>General</c:formatCode>
                <c:ptCount val="13"/>
                <c:pt idx="0">
                  <c:v>75</c:v>
                </c:pt>
                <c:pt idx="1">
                  <c:v>75</c:v>
                </c:pt>
                <c:pt idx="2">
                  <c:v>68</c:v>
                </c:pt>
                <c:pt idx="3">
                  <c:v>66</c:v>
                </c:pt>
                <c:pt idx="4">
                  <c:v>62</c:v>
                </c:pt>
                <c:pt idx="5">
                  <c:v>59</c:v>
                </c:pt>
                <c:pt idx="6">
                  <c:v>58</c:v>
                </c:pt>
                <c:pt idx="7">
                  <c:v>53</c:v>
                </c:pt>
                <c:pt idx="8">
                  <c:v>51</c:v>
                </c:pt>
                <c:pt idx="9">
                  <c:v>46</c:v>
                </c:pt>
                <c:pt idx="10">
                  <c:v>43</c:v>
                </c:pt>
                <c:pt idx="11">
                  <c:v>42</c:v>
                </c:pt>
                <c:pt idx="12">
                  <c:v>41</c:v>
                </c:pt>
              </c:numCache>
            </c:numRef>
          </c:val>
          <c:extLst xmlns:c16r2="http://schemas.microsoft.com/office/drawing/2015/06/chart">
            <c:ext xmlns:c16="http://schemas.microsoft.com/office/drawing/2014/chart" uri="{C3380CC4-5D6E-409C-BE32-E72D297353CC}">
              <c16:uniqueId val="{00000001-7809-48FC-A215-2A0E5A41D3E2}"/>
            </c:ext>
          </c:extLst>
        </c:ser>
        <c:ser>
          <c:idx val="2"/>
          <c:order val="2"/>
          <c:tx>
            <c:strRef>
              <c:f>Sheet1!$A$4</c:f>
              <c:strCache>
                <c:ptCount val="1"/>
                <c:pt idx="0">
                  <c:v>公共部门基金</c:v>
                </c:pt>
              </c:strCache>
            </c:strRef>
          </c:tx>
          <c:spPr>
            <a:ln w="28575" cap="rnd">
              <a:solidFill>
                <a:schemeClr val="accent3"/>
              </a:solidFill>
              <a:round/>
            </a:ln>
            <a:effectLst/>
          </c:spPr>
          <c:marker>
            <c:symbol val="none"/>
          </c:marke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Sheet1!$B$4:$N$4</c:f>
              <c:numCache>
                <c:formatCode>General</c:formatCode>
                <c:ptCount val="13"/>
                <c:pt idx="0">
                  <c:v>44</c:v>
                </c:pt>
                <c:pt idx="1">
                  <c:v>50</c:v>
                </c:pt>
                <c:pt idx="2">
                  <c:v>44</c:v>
                </c:pt>
                <c:pt idx="3">
                  <c:v>42</c:v>
                </c:pt>
                <c:pt idx="4">
                  <c:v>42</c:v>
                </c:pt>
                <c:pt idx="5">
                  <c:v>42</c:v>
                </c:pt>
                <c:pt idx="6">
                  <c:v>41</c:v>
                </c:pt>
                <c:pt idx="7">
                  <c:v>41</c:v>
                </c:pt>
                <c:pt idx="8">
                  <c:v>40</c:v>
                </c:pt>
                <c:pt idx="9">
                  <c:v>40</c:v>
                </c:pt>
                <c:pt idx="10">
                  <c:v>38</c:v>
                </c:pt>
                <c:pt idx="11">
                  <c:v>38</c:v>
                </c:pt>
                <c:pt idx="12">
                  <c:v>38</c:v>
                </c:pt>
              </c:numCache>
            </c:numRef>
          </c:val>
          <c:extLst xmlns:c16r2="http://schemas.microsoft.com/office/drawing/2015/06/chart">
            <c:ext xmlns:c16="http://schemas.microsoft.com/office/drawing/2014/chart" uri="{C3380CC4-5D6E-409C-BE32-E72D297353CC}">
              <c16:uniqueId val="{00000002-7809-48FC-A215-2A0E5A41D3E2}"/>
            </c:ext>
          </c:extLst>
        </c:ser>
        <c:ser>
          <c:idx val="3"/>
          <c:order val="3"/>
          <c:tx>
            <c:strRef>
              <c:f>Sheet1!$A$5</c:f>
              <c:strCache>
                <c:ptCount val="1"/>
                <c:pt idx="0">
                  <c:v>零售基金</c:v>
                </c:pt>
              </c:strCache>
            </c:strRef>
          </c:tx>
          <c:spPr>
            <a:ln w="28575" cap="rnd">
              <a:solidFill>
                <a:schemeClr val="accent4"/>
              </a:solidFill>
              <a:round/>
            </a:ln>
            <a:effectLst/>
          </c:spPr>
          <c:marker>
            <c:symbol val="none"/>
          </c:marke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Sheet1!$B$5:$N$5</c:f>
              <c:numCache>
                <c:formatCode>General</c:formatCode>
                <c:ptCount val="13"/>
                <c:pt idx="0">
                  <c:v>313</c:v>
                </c:pt>
                <c:pt idx="1">
                  <c:v>258</c:v>
                </c:pt>
                <c:pt idx="2">
                  <c:v>251</c:v>
                </c:pt>
                <c:pt idx="3">
                  <c:v>248</c:v>
                </c:pt>
                <c:pt idx="4">
                  <c:v>239</c:v>
                </c:pt>
                <c:pt idx="5">
                  <c:v>227</c:v>
                </c:pt>
                <c:pt idx="6">
                  <c:v>203</c:v>
                </c:pt>
                <c:pt idx="7">
                  <c:v>190</c:v>
                </c:pt>
                <c:pt idx="8">
                  <c:v>179</c:v>
                </c:pt>
                <c:pt idx="9">
                  <c:v>163</c:v>
                </c:pt>
                <c:pt idx="10">
                  <c:v>145</c:v>
                </c:pt>
                <c:pt idx="11">
                  <c:v>141</c:v>
                </c:pt>
                <c:pt idx="12">
                  <c:v>135</c:v>
                </c:pt>
              </c:numCache>
            </c:numRef>
          </c:val>
          <c:extLst xmlns:c16r2="http://schemas.microsoft.com/office/drawing/2015/06/chart">
            <c:ext xmlns:c16="http://schemas.microsoft.com/office/drawing/2014/chart" uri="{C3380CC4-5D6E-409C-BE32-E72D297353CC}">
              <c16:uniqueId val="{00000003-7809-48FC-A215-2A0E5A41D3E2}"/>
            </c:ext>
          </c:extLst>
        </c:ser>
        <c:marker val="1"/>
        <c:axId val="125949056"/>
        <c:axId val="125950592"/>
      </c:lineChart>
      <c:lineChart>
        <c:grouping val="standard"/>
        <c:ser>
          <c:idx val="4"/>
          <c:order val="4"/>
          <c:tx>
            <c:strRef>
              <c:f>Sheet1!$A$6</c:f>
              <c:strCache>
                <c:ptCount val="1"/>
                <c:pt idx="0">
                  <c:v>小型基金（右轴）</c:v>
                </c:pt>
              </c:strCache>
            </c:strRef>
          </c:tx>
          <c:spPr>
            <a:ln w="28575" cap="rnd">
              <a:solidFill>
                <a:schemeClr val="accent5"/>
              </a:solidFill>
              <a:round/>
            </a:ln>
            <a:effectLst/>
          </c:spPr>
          <c:marker>
            <c:symbol val="none"/>
          </c:marker>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Sheet1!$B$6:$N$6</c:f>
              <c:numCache>
                <c:formatCode>General</c:formatCode>
                <c:ptCount val="13"/>
                <c:pt idx="0">
                  <c:v>278876</c:v>
                </c:pt>
                <c:pt idx="1">
                  <c:v>296223</c:v>
                </c:pt>
                <c:pt idx="2">
                  <c:v>315381</c:v>
                </c:pt>
                <c:pt idx="3">
                  <c:v>355473</c:v>
                </c:pt>
                <c:pt idx="4">
                  <c:v>380195</c:v>
                </c:pt>
                <c:pt idx="5">
                  <c:v>403318</c:v>
                </c:pt>
                <c:pt idx="6">
                  <c:v>417732</c:v>
                </c:pt>
                <c:pt idx="7">
                  <c:v>443377</c:v>
                </c:pt>
                <c:pt idx="8">
                  <c:v>476340</c:v>
                </c:pt>
                <c:pt idx="9">
                  <c:v>504842</c:v>
                </c:pt>
                <c:pt idx="10">
                  <c:v>526514</c:v>
                </c:pt>
                <c:pt idx="11">
                  <c:v>549534</c:v>
                </c:pt>
                <c:pt idx="12">
                  <c:v>579291</c:v>
                </c:pt>
              </c:numCache>
            </c:numRef>
          </c:val>
          <c:extLst xmlns:c16r2="http://schemas.microsoft.com/office/drawing/2015/06/chart">
            <c:ext xmlns:c16="http://schemas.microsoft.com/office/drawing/2014/chart" uri="{C3380CC4-5D6E-409C-BE32-E72D297353CC}">
              <c16:uniqueId val="{00000004-7809-48FC-A215-2A0E5A41D3E2}"/>
            </c:ext>
          </c:extLst>
        </c:ser>
        <c:marker val="1"/>
        <c:axId val="126756736"/>
        <c:axId val="126755200"/>
      </c:lineChart>
      <c:catAx>
        <c:axId val="1259490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950592"/>
        <c:crosses val="autoZero"/>
        <c:auto val="1"/>
        <c:lblAlgn val="ctr"/>
        <c:lblOffset val="100"/>
      </c:catAx>
      <c:valAx>
        <c:axId val="125950592"/>
        <c:scaling>
          <c:orientation val="minMax"/>
        </c:scaling>
        <c:axPos val="l"/>
        <c:numFmt formatCode="General" sourceLinked="1"/>
        <c:maj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5949056"/>
        <c:crosses val="autoZero"/>
        <c:crossBetween val="between"/>
      </c:valAx>
      <c:valAx>
        <c:axId val="126755200"/>
        <c:scaling>
          <c:orientation val="minMax"/>
        </c:scaling>
        <c:axPos val="r"/>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6756736"/>
        <c:crosses val="max"/>
        <c:crossBetween val="between"/>
      </c:valAx>
      <c:catAx>
        <c:axId val="126756736"/>
        <c:scaling>
          <c:orientation val="minMax"/>
        </c:scaling>
        <c:delete val="1"/>
        <c:axPos val="b"/>
        <c:numFmt formatCode="General" sourceLinked="1"/>
        <c:tickLblPos val="none"/>
        <c:crossAx val="12675520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no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超级年金近年投资收益情况</a:t>
            </a:r>
          </a:p>
        </c:rich>
      </c:tx>
      <c:spPr>
        <a:noFill/>
        <a:ln>
          <a:noFill/>
        </a:ln>
        <a:effectLst/>
      </c:spPr>
    </c:title>
    <c:plotArea>
      <c:layout/>
      <c:lineChart>
        <c:grouping val="standard"/>
        <c:ser>
          <c:idx val="0"/>
          <c:order val="0"/>
          <c:tx>
            <c:strRef>
              <c:f>Sheet1!$A$2</c:f>
              <c:strCache>
                <c:ptCount val="1"/>
                <c:pt idx="0">
                  <c:v>投资收益</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Sheet1!$B$1:$N$1</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Sheet1!$B$2:$N$2</c:f>
              <c:numCache>
                <c:formatCode>0.00%</c:formatCode>
                <c:ptCount val="13"/>
                <c:pt idx="0">
                  <c:v>0.11899999999999998</c:v>
                </c:pt>
                <c:pt idx="1">
                  <c:v>0.12300000000000012</c:v>
                </c:pt>
                <c:pt idx="2">
                  <c:v>0.13800000000000001</c:v>
                </c:pt>
                <c:pt idx="3">
                  <c:v>0.14600000000000021</c:v>
                </c:pt>
                <c:pt idx="4">
                  <c:v>-7.5000000000000011E-2</c:v>
                </c:pt>
                <c:pt idx="5">
                  <c:v>-0.12100000000000002</c:v>
                </c:pt>
                <c:pt idx="6">
                  <c:v>9.1000000000000025E-2</c:v>
                </c:pt>
                <c:pt idx="7">
                  <c:v>7.9000000000000167E-2</c:v>
                </c:pt>
                <c:pt idx="8">
                  <c:v>4.0000000000000105E-3</c:v>
                </c:pt>
                <c:pt idx="9">
                  <c:v>0.13900000000000001</c:v>
                </c:pt>
                <c:pt idx="10">
                  <c:v>0.11700000000000002</c:v>
                </c:pt>
                <c:pt idx="11">
                  <c:v>8.9000000000000065E-2</c:v>
                </c:pt>
                <c:pt idx="12">
                  <c:v>2.9000000000000001E-2</c:v>
                </c:pt>
              </c:numCache>
            </c:numRef>
          </c:val>
          <c:extLst xmlns:c16r2="http://schemas.microsoft.com/office/drawing/2015/06/chart">
            <c:ext xmlns:c16="http://schemas.microsoft.com/office/drawing/2014/chart" uri="{C3380CC4-5D6E-409C-BE32-E72D297353CC}">
              <c16:uniqueId val="{00000000-124F-4FA0-A32C-12430E40C3E7}"/>
            </c:ext>
          </c:extLst>
        </c:ser>
        <c:dLbls>
          <c:showVal val="1"/>
        </c:dLbls>
        <c:marker val="1"/>
        <c:axId val="127166336"/>
        <c:axId val="127167872"/>
      </c:lineChart>
      <c:catAx>
        <c:axId val="1271663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7167872"/>
        <c:crosses val="autoZero"/>
        <c:auto val="1"/>
        <c:lblAlgn val="ctr"/>
        <c:lblOffset val="100"/>
      </c:catAx>
      <c:valAx>
        <c:axId val="127167872"/>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7166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投资占比</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BD3-4B32-A5AE-733DB906EA20}"/>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BD3-4B32-A5AE-733DB906EA20}"/>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BD3-4B32-A5AE-733DB906EA20}"/>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BD3-4B32-A5AE-733DB906EA20}"/>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BD3-4B32-A5AE-733DB906EA20}"/>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BD3-4B32-A5AE-733DB906EA20}"/>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BD3-4B32-A5AE-733DB906EA20}"/>
              </c:ext>
            </c:extLst>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Sheet1!$A$2:$A$8</c:f>
              <c:strCache>
                <c:ptCount val="7"/>
                <c:pt idx="0">
                  <c:v>澳大利亚</c:v>
                </c:pt>
                <c:pt idx="1">
                  <c:v>美国</c:v>
                </c:pt>
                <c:pt idx="2">
                  <c:v>欧洲</c:v>
                </c:pt>
                <c:pt idx="3">
                  <c:v>英国</c:v>
                </c:pt>
                <c:pt idx="4">
                  <c:v>日本</c:v>
                </c:pt>
                <c:pt idx="5">
                  <c:v>其他发达国家</c:v>
                </c:pt>
                <c:pt idx="6">
                  <c:v>新兴国家</c:v>
                </c:pt>
              </c:strCache>
            </c:strRef>
          </c:cat>
          <c:val>
            <c:numRef>
              <c:f>Sheet1!$B$2:$B$8</c:f>
              <c:numCache>
                <c:formatCode>0%</c:formatCode>
                <c:ptCount val="7"/>
                <c:pt idx="0">
                  <c:v>0.28000000000000008</c:v>
                </c:pt>
                <c:pt idx="1">
                  <c:v>0.36000000000000032</c:v>
                </c:pt>
                <c:pt idx="2">
                  <c:v>9.0000000000000024E-2</c:v>
                </c:pt>
                <c:pt idx="3">
                  <c:v>6.0000000000000032E-2</c:v>
                </c:pt>
                <c:pt idx="4">
                  <c:v>6.0000000000000032E-2</c:v>
                </c:pt>
                <c:pt idx="5">
                  <c:v>4.0000000000000022E-2</c:v>
                </c:pt>
                <c:pt idx="6">
                  <c:v>0.11</c:v>
                </c:pt>
              </c:numCache>
            </c:numRef>
          </c:val>
          <c:extLst xmlns:c16r2="http://schemas.microsoft.com/office/drawing/2015/06/chart">
            <c:ext xmlns:c16="http://schemas.microsoft.com/office/drawing/2014/chart" uri="{C3380CC4-5D6E-409C-BE32-E72D297353CC}">
              <c16:uniqueId val="{0000000E-5BD3-4B32-A5AE-733DB906EA20}"/>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noFill/>
      <a:round/>
    </a:ln>
    <a:effectLst/>
  </c:spPr>
  <c:txPr>
    <a:bodyPr/>
    <a:lstStyle/>
    <a:p>
      <a:pPr>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tx>
            <c:strRef>
              <c:f>Sheet1!$B$1</c:f>
              <c:strCache>
                <c:ptCount val="1"/>
                <c:pt idx="0">
                  <c:v>规模占比</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3D6-43F3-84FC-B69076929B5F}"/>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3D6-43F3-84FC-B69076929B5F}"/>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3D6-43F3-84FC-B69076929B5F}"/>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3D6-43F3-84FC-B69076929B5F}"/>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3D6-43F3-84FC-B69076929B5F}"/>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3D6-43F3-84FC-B69076929B5F}"/>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3D6-43F3-84FC-B69076929B5F}"/>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3D6-43F3-84FC-B69076929B5F}"/>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F3D6-43F3-84FC-B69076929B5F}"/>
              </c:ext>
            </c:extLst>
          </c:dPt>
          <c:dLbls>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zh-CN"/>
              </a:p>
            </c:txPr>
            <c:dLblPos val="outEnd"/>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ext>
            </c:extLst>
          </c:dLbls>
          <c:cat>
            <c:strRef>
              <c:f>Sheet1!$A$2:$A$10</c:f>
              <c:strCache>
                <c:ptCount val="9"/>
                <c:pt idx="0">
                  <c:v>澳大利亚股票</c:v>
                </c:pt>
                <c:pt idx="1">
                  <c:v>发达市场</c:v>
                </c:pt>
                <c:pt idx="2">
                  <c:v>新兴市场</c:v>
                </c:pt>
                <c:pt idx="3">
                  <c:v>私募股票</c:v>
                </c:pt>
                <c:pt idx="4">
                  <c:v>地产</c:v>
                </c:pt>
                <c:pt idx="5">
                  <c:v>基础设施</c:v>
                </c:pt>
                <c:pt idx="6">
                  <c:v>债券</c:v>
                </c:pt>
                <c:pt idx="7">
                  <c:v>另类资产</c:v>
                </c:pt>
                <c:pt idx="8">
                  <c:v>现金</c:v>
                </c:pt>
              </c:strCache>
            </c:strRef>
          </c:cat>
          <c:val>
            <c:numRef>
              <c:f>Sheet1!$B$2:$B$10</c:f>
              <c:numCache>
                <c:formatCode>0%</c:formatCode>
                <c:ptCount val="9"/>
                <c:pt idx="0">
                  <c:v>6.0000000000000032E-2</c:v>
                </c:pt>
                <c:pt idx="1">
                  <c:v>0.15000000000000024</c:v>
                </c:pt>
                <c:pt idx="2">
                  <c:v>7.0000000000000021E-2</c:v>
                </c:pt>
                <c:pt idx="3">
                  <c:v>0.12000000000000002</c:v>
                </c:pt>
                <c:pt idx="4">
                  <c:v>6.0000000000000032E-2</c:v>
                </c:pt>
                <c:pt idx="5">
                  <c:v>8.0000000000000043E-2</c:v>
                </c:pt>
                <c:pt idx="6">
                  <c:v>0.11</c:v>
                </c:pt>
                <c:pt idx="7">
                  <c:v>0.15000000000000024</c:v>
                </c:pt>
                <c:pt idx="8">
                  <c:v>0.21000000000000021</c:v>
                </c:pt>
              </c:numCache>
            </c:numRef>
          </c:val>
          <c:extLst xmlns:c16r2="http://schemas.microsoft.com/office/drawing/2015/06/chart">
            <c:ext xmlns:c16="http://schemas.microsoft.com/office/drawing/2014/chart" uri="{C3380CC4-5D6E-409C-BE32-E72D297353CC}">
              <c16:uniqueId val="{00000012-F3D6-43F3-84FC-B69076929B5F}"/>
            </c:ext>
          </c:extLst>
        </c:ser>
        <c:dLbls>
          <c:showVal val="1"/>
        </c:dLbls>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Sheet1!$A$2</c:f>
              <c:strCache>
                <c:ptCount val="1"/>
                <c:pt idx="0">
                  <c:v>投资回报</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Sheet1!$B$1:$M$1</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Sheet1!$B$2:$M$2</c:f>
              <c:numCache>
                <c:formatCode>0.00%</c:formatCode>
                <c:ptCount val="12"/>
                <c:pt idx="0">
                  <c:v>6.0000000000000032E-2</c:v>
                </c:pt>
                <c:pt idx="1">
                  <c:v>6.2000000000000034E-2</c:v>
                </c:pt>
                <c:pt idx="2">
                  <c:v>1.4999999999999998E-2</c:v>
                </c:pt>
                <c:pt idx="3">
                  <c:v>-4.2000000000000023E-2</c:v>
                </c:pt>
                <c:pt idx="4">
                  <c:v>0.10600000000000002</c:v>
                </c:pt>
                <c:pt idx="5">
                  <c:v>0.128</c:v>
                </c:pt>
                <c:pt idx="6">
                  <c:v>2.1000000000000012E-2</c:v>
                </c:pt>
                <c:pt idx="7">
                  <c:v>0.15400000000000033</c:v>
                </c:pt>
                <c:pt idx="8">
                  <c:v>0.14300000000000004</c:v>
                </c:pt>
                <c:pt idx="9">
                  <c:v>0.15400000000000033</c:v>
                </c:pt>
                <c:pt idx="10">
                  <c:v>4.8000000000000001E-2</c:v>
                </c:pt>
                <c:pt idx="11">
                  <c:v>8.7000000000000022E-2</c:v>
                </c:pt>
              </c:numCache>
            </c:numRef>
          </c:val>
          <c:smooth val="1"/>
          <c:extLst xmlns:c16r2="http://schemas.microsoft.com/office/drawing/2015/06/chart">
            <c:ext xmlns:c16="http://schemas.microsoft.com/office/drawing/2014/chart" uri="{C3380CC4-5D6E-409C-BE32-E72D297353CC}">
              <c16:uniqueId val="{00000000-4A24-4197-B2F0-AF3819B4339D}"/>
            </c:ext>
          </c:extLst>
        </c:ser>
        <c:ser>
          <c:idx val="1"/>
          <c:order val="1"/>
          <c:tx>
            <c:strRef>
              <c:f>Sheet1!$A$3</c:f>
              <c:strCache>
                <c:ptCount val="1"/>
                <c:pt idx="0">
                  <c:v>业绩比较基准</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Sheet1!$B$1:$M$1</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Sheet1!$B$3:$M$3</c:f>
              <c:numCache>
                <c:formatCode>0.00%</c:formatCode>
                <c:ptCount val="12"/>
                <c:pt idx="0">
                  <c:v>8.5000000000000048E-2</c:v>
                </c:pt>
                <c:pt idx="1">
                  <c:v>6.6000000000000003E-2</c:v>
                </c:pt>
                <c:pt idx="2">
                  <c:v>9.0000000000000024E-2</c:v>
                </c:pt>
                <c:pt idx="3">
                  <c:v>6.0000000000000032E-2</c:v>
                </c:pt>
                <c:pt idx="4" formatCode="0.000%">
                  <c:v>7.5999999999999998E-2</c:v>
                </c:pt>
                <c:pt idx="5">
                  <c:v>8.1000000000000044E-2</c:v>
                </c:pt>
                <c:pt idx="6">
                  <c:v>5.7000000000000023E-2</c:v>
                </c:pt>
                <c:pt idx="7">
                  <c:v>6.8000000000000019E-2</c:v>
                </c:pt>
                <c:pt idx="8">
                  <c:v>7.5000000000000011E-2</c:v>
                </c:pt>
                <c:pt idx="9" formatCode="0%">
                  <c:v>6.0000000000000032E-2</c:v>
                </c:pt>
                <c:pt idx="10">
                  <c:v>5.5000000000000014E-2</c:v>
                </c:pt>
                <c:pt idx="11">
                  <c:v>6.4000000000000112E-2</c:v>
                </c:pt>
              </c:numCache>
            </c:numRef>
          </c:val>
          <c:smooth val="1"/>
          <c:extLst xmlns:c16r2="http://schemas.microsoft.com/office/drawing/2015/06/chart">
            <c:ext xmlns:c16="http://schemas.microsoft.com/office/drawing/2014/chart" uri="{C3380CC4-5D6E-409C-BE32-E72D297353CC}">
              <c16:uniqueId val="{00000001-4A24-4197-B2F0-AF3819B4339D}"/>
            </c:ext>
          </c:extLst>
        </c:ser>
        <c:marker val="1"/>
        <c:axId val="150561536"/>
        <c:axId val="150563456"/>
      </c:lineChart>
      <c:catAx>
        <c:axId val="150561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0563456"/>
        <c:crosses val="autoZero"/>
        <c:auto val="1"/>
        <c:lblAlgn val="ctr"/>
        <c:lblOffset val="100"/>
      </c:catAx>
      <c:valAx>
        <c:axId val="150563456"/>
        <c:scaling>
          <c:orientation val="minMax"/>
        </c:scaling>
        <c:axPos val="l"/>
        <c:numFmt formatCode="0.00%" sourceLinked="1"/>
        <c:maj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05615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lineChart>
        <c:grouping val="standard"/>
        <c:ser>
          <c:idx val="0"/>
          <c:order val="0"/>
          <c:tx>
            <c:strRef>
              <c:f>Sheet1!$A$2</c:f>
              <c:strCache>
                <c:ptCount val="1"/>
                <c:pt idx="0">
                  <c:v>投资回报累积</c:v>
                </c:pt>
              </c:strCache>
            </c:strRef>
          </c:tx>
          <c:spPr>
            <a:ln w="28575" cap="rnd">
              <a:solidFill>
                <a:schemeClr val="accent1"/>
              </a:solidFill>
              <a:round/>
            </a:ln>
            <a:effectLst/>
          </c:spPr>
          <c:marker>
            <c:symbol val="none"/>
          </c:marker>
          <c:cat>
            <c:strRef>
              <c:f>Sheet1!$B$1:$M$1</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Sheet1!$B$2:$M$2</c:f>
              <c:numCache>
                <c:formatCode>General</c:formatCode>
                <c:ptCount val="12"/>
                <c:pt idx="0" formatCode="0.00%">
                  <c:v>1.06</c:v>
                </c:pt>
                <c:pt idx="1">
                  <c:v>1.1257199999999998</c:v>
                </c:pt>
                <c:pt idx="2">
                  <c:v>1.1426057999999999</c:v>
                </c:pt>
                <c:pt idx="3">
                  <c:v>1.0946163563999998</c:v>
                </c:pt>
                <c:pt idx="4">
                  <c:v>1.2106456901783971</c:v>
                </c:pt>
                <c:pt idx="5">
                  <c:v>1.3656083385212361</c:v>
                </c:pt>
                <c:pt idx="6">
                  <c:v>1.3942861136301807</c:v>
                </c:pt>
                <c:pt idx="7">
                  <c:v>1.6090061751292284</c:v>
                </c:pt>
                <c:pt idx="8">
                  <c:v>1.8390940581727078</c:v>
                </c:pt>
                <c:pt idx="9">
                  <c:v>2.1223145431313135</c:v>
                </c:pt>
                <c:pt idx="10">
                  <c:v>2.2241856412016157</c:v>
                </c:pt>
                <c:pt idx="11">
                  <c:v>2.4176897919861475</c:v>
                </c:pt>
              </c:numCache>
            </c:numRef>
          </c:val>
          <c:extLst xmlns:c16r2="http://schemas.microsoft.com/office/drawing/2015/06/chart">
            <c:ext xmlns:c16="http://schemas.microsoft.com/office/drawing/2014/chart" uri="{C3380CC4-5D6E-409C-BE32-E72D297353CC}">
              <c16:uniqueId val="{00000000-2469-442A-A3F0-F9381D343EF6}"/>
            </c:ext>
          </c:extLst>
        </c:ser>
        <c:ser>
          <c:idx val="1"/>
          <c:order val="1"/>
          <c:tx>
            <c:strRef>
              <c:f>Sheet1!$A$3</c:f>
              <c:strCache>
                <c:ptCount val="1"/>
                <c:pt idx="0">
                  <c:v>业绩比较基准累积</c:v>
                </c:pt>
              </c:strCache>
            </c:strRef>
          </c:tx>
          <c:spPr>
            <a:ln w="28575" cap="rnd">
              <a:solidFill>
                <a:schemeClr val="accent2"/>
              </a:solidFill>
              <a:round/>
            </a:ln>
            <a:effectLst/>
          </c:spPr>
          <c:marker>
            <c:symbol val="none"/>
          </c:marker>
          <c:cat>
            <c:strRef>
              <c:f>Sheet1!$B$1:$M$1</c:f>
              <c:strCach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strCache>
            </c:strRef>
          </c:cat>
          <c:val>
            <c:numRef>
              <c:f>Sheet1!$B$3:$M$3</c:f>
              <c:numCache>
                <c:formatCode>General</c:formatCode>
                <c:ptCount val="12"/>
                <c:pt idx="0" formatCode="0.00%">
                  <c:v>1.085</c:v>
                </c:pt>
                <c:pt idx="1">
                  <c:v>1.1566099999999999</c:v>
                </c:pt>
                <c:pt idx="2">
                  <c:v>1.260704899999997</c:v>
                </c:pt>
                <c:pt idx="3">
                  <c:v>1.3363471940000029</c:v>
                </c:pt>
                <c:pt idx="4">
                  <c:v>1.4379095807439968</c:v>
                </c:pt>
                <c:pt idx="5">
                  <c:v>1.5543802567842639</c:v>
                </c:pt>
                <c:pt idx="6">
                  <c:v>1.6429799314209681</c:v>
                </c:pt>
                <c:pt idx="7">
                  <c:v>1.7547025667575955</c:v>
                </c:pt>
                <c:pt idx="8">
                  <c:v>1.8863052592644118</c:v>
                </c:pt>
                <c:pt idx="9">
                  <c:v>1.9994835748202824</c:v>
                </c:pt>
                <c:pt idx="10">
                  <c:v>2.1094551714353922</c:v>
                </c:pt>
                <c:pt idx="11">
                  <c:v>2.2444603024072602</c:v>
                </c:pt>
              </c:numCache>
            </c:numRef>
          </c:val>
          <c:extLst xmlns:c16r2="http://schemas.microsoft.com/office/drawing/2015/06/chart">
            <c:ext xmlns:c16="http://schemas.microsoft.com/office/drawing/2014/chart" uri="{C3380CC4-5D6E-409C-BE32-E72D297353CC}">
              <c16:uniqueId val="{00000001-2469-442A-A3F0-F9381D343EF6}"/>
            </c:ext>
          </c:extLst>
        </c:ser>
        <c:marker val="1"/>
        <c:axId val="150932864"/>
        <c:axId val="150946944"/>
      </c:lineChart>
      <c:catAx>
        <c:axId val="150932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0946944"/>
        <c:crosses val="autoZero"/>
        <c:auto val="1"/>
        <c:lblAlgn val="ctr"/>
        <c:lblOffset val="100"/>
      </c:catAx>
      <c:valAx>
        <c:axId val="150946944"/>
        <c:scaling>
          <c:orientation val="minMax"/>
          <c:min val="1"/>
        </c:scaling>
        <c:axPos val="l"/>
        <c:numFmt formatCode="0%" sourceLinked="0"/>
        <c:maj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50932864"/>
        <c:crosses val="autoZero"/>
        <c:crossBetween val="between"/>
      </c:val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4C75E-C07D-4ABB-9B55-68C416CE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Pages>
  <Words>2661</Words>
  <Characters>15174</Characters>
  <Application>Microsoft Office Word</Application>
  <DocSecurity>0</DocSecurity>
  <Lines>126</Lines>
  <Paragraphs>35</Paragraphs>
  <ScaleCrop>false</ScaleCrop>
  <Company>Microsoft</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袁思农</dc:creator>
  <cp:lastModifiedBy>zhaoq</cp:lastModifiedBy>
  <cp:revision>5</cp:revision>
  <dcterms:created xsi:type="dcterms:W3CDTF">2018-10-24T06:09:00Z</dcterms:created>
  <dcterms:modified xsi:type="dcterms:W3CDTF">2018-10-26T07:17:00Z</dcterms:modified>
</cp:coreProperties>
</file>